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41CD8">
            <w:pPr>
              <w:spacing w:after="120"/>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Will Wiquist, 202-418-0509</w:t>
            </w:r>
          </w:p>
          <w:p w:rsidR="007A44F8" w:rsidP="00BB4E29">
            <w:pPr>
              <w:rPr>
                <w:bCs/>
                <w:sz w:val="22"/>
                <w:szCs w:val="22"/>
              </w:rPr>
            </w:pPr>
            <w:r>
              <w:rPr>
                <w:bCs/>
                <w:sz w:val="22"/>
                <w:szCs w:val="22"/>
              </w:rPr>
              <w:t>will.wiquist</w:t>
            </w:r>
            <w:r w:rsidRPr="00767BA3" w:rsidR="00767BA3">
              <w:rPr>
                <w:bCs/>
                <w:sz w:val="22"/>
                <w:szCs w:val="22"/>
              </w:rPr>
              <w:t xml:space="preserve">@fcc.gov </w:t>
            </w:r>
          </w:p>
          <w:p w:rsidR="00767BA3" w:rsidRPr="008A3940" w:rsidP="00BB4E29">
            <w:pPr>
              <w:rPr>
                <w:bCs/>
                <w:sz w:val="22"/>
                <w:szCs w:val="22"/>
              </w:rPr>
            </w:pPr>
          </w:p>
          <w:p w:rsidR="007A44F8" w:rsidP="00BB4E29">
            <w:pPr>
              <w:rPr>
                <w:b/>
                <w:sz w:val="22"/>
                <w:szCs w:val="22"/>
              </w:rPr>
            </w:pPr>
            <w:r w:rsidRPr="008A3940">
              <w:rPr>
                <w:b/>
                <w:sz w:val="22"/>
                <w:szCs w:val="22"/>
              </w:rPr>
              <w:t>For Immediate Release</w:t>
            </w:r>
          </w:p>
          <w:p w:rsidR="007A44F8" w:rsidRPr="00641CD8" w:rsidP="00BB4E29">
            <w:pPr>
              <w:jc w:val="center"/>
              <w:rPr>
                <w:b/>
                <w:bCs/>
                <w:sz w:val="22"/>
                <w:szCs w:val="22"/>
              </w:rPr>
            </w:pPr>
          </w:p>
          <w:p w:rsidR="00E34E3F" w:rsidRPr="00B47F70" w:rsidP="00A41840">
            <w:pPr>
              <w:widowControl w:val="0"/>
              <w:autoSpaceDE w:val="0"/>
              <w:autoSpaceDN w:val="0"/>
              <w:adjustRightInd w:val="0"/>
              <w:jc w:val="center"/>
              <w:rPr>
                <w:b/>
                <w:bCs/>
                <w:caps/>
              </w:rPr>
            </w:pPr>
            <w:bookmarkStart w:id="0" w:name="_Hlk528228295"/>
            <w:r w:rsidRPr="00B47F70">
              <w:rPr>
                <w:b/>
                <w:bCs/>
                <w:caps/>
              </w:rPr>
              <w:t xml:space="preserve">FCC </w:t>
            </w:r>
            <w:r w:rsidRPr="00B47F70" w:rsidR="00A41840">
              <w:rPr>
                <w:b/>
                <w:bCs/>
                <w:caps/>
              </w:rPr>
              <w:t xml:space="preserve">ANNOUNCES TENTATIVE AGENDA FOR </w:t>
            </w:r>
            <w:r w:rsidR="007B5346">
              <w:rPr>
                <w:b/>
                <w:bCs/>
                <w:caps/>
              </w:rPr>
              <w:t>NOVEMBER</w:t>
            </w:r>
            <w:r w:rsidRPr="00B47F70" w:rsidR="00A41840">
              <w:rPr>
                <w:b/>
                <w:bCs/>
                <w:caps/>
              </w:rPr>
              <w:t xml:space="preserve"> OPEN MEETING</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41840" w:rsidRPr="00A41840" w:rsidP="00A41840">
            <w:pPr>
              <w:tabs>
                <w:tab w:val="left" w:pos="8640"/>
              </w:tabs>
              <w:rPr>
                <w:sz w:val="22"/>
                <w:szCs w:val="22"/>
              </w:rPr>
            </w:pPr>
            <w:r w:rsidRPr="008A3940">
              <w:rPr>
                <w:sz w:val="22"/>
                <w:szCs w:val="22"/>
              </w:rPr>
              <w:t xml:space="preserve">WASHINGTON, </w:t>
            </w:r>
            <w:r w:rsidR="007B5346">
              <w:rPr>
                <w:sz w:val="22"/>
                <w:szCs w:val="22"/>
              </w:rPr>
              <w:t>October 25</w:t>
            </w:r>
            <w:r w:rsidR="00D148D6">
              <w:rPr>
                <w:sz w:val="22"/>
                <w:szCs w:val="22"/>
              </w:rPr>
              <w:t>, 201</w:t>
            </w:r>
            <w:r w:rsidR="00323539">
              <w:rPr>
                <w:sz w:val="22"/>
                <w:szCs w:val="22"/>
              </w:rPr>
              <w:t>8</w:t>
            </w:r>
            <w:r w:rsidR="00641CD8">
              <w:rPr>
                <w:sz w:val="22"/>
                <w:szCs w:val="22"/>
              </w:rPr>
              <w:t>—</w:t>
            </w:r>
            <w:r w:rsidRPr="00A41840">
              <w:rPr>
                <w:sz w:val="22"/>
                <w:szCs w:val="22"/>
              </w:rPr>
              <w:t xml:space="preserve">Federal Communications Commission Chairman </w:t>
            </w:r>
            <w:r w:rsidR="00A27E96">
              <w:rPr>
                <w:sz w:val="22"/>
                <w:szCs w:val="22"/>
              </w:rPr>
              <w:t xml:space="preserve">Ajit Pai </w:t>
            </w:r>
            <w:r w:rsidRPr="00A41840">
              <w:rPr>
                <w:sz w:val="22"/>
                <w:szCs w:val="22"/>
              </w:rPr>
              <w:t xml:space="preserve">announced that the following items are tentatively on the agenda for </w:t>
            </w:r>
            <w:r w:rsidRPr="00334E1A">
              <w:rPr>
                <w:sz w:val="22"/>
                <w:szCs w:val="22"/>
              </w:rPr>
              <w:t xml:space="preserve">the </w:t>
            </w:r>
            <w:r w:rsidRPr="00334E1A" w:rsidR="007B5346">
              <w:rPr>
                <w:sz w:val="22"/>
                <w:szCs w:val="22"/>
              </w:rPr>
              <w:t>November</w:t>
            </w:r>
            <w:r w:rsidRPr="00334E1A">
              <w:rPr>
                <w:sz w:val="22"/>
                <w:szCs w:val="22"/>
              </w:rPr>
              <w:t xml:space="preserve"> Open Commission Meeting scheduled for </w:t>
            </w:r>
            <w:r w:rsidRPr="00334E1A" w:rsidR="00D148D6">
              <w:rPr>
                <w:sz w:val="22"/>
                <w:szCs w:val="22"/>
              </w:rPr>
              <w:t xml:space="preserve">Thursday, </w:t>
            </w:r>
            <w:r w:rsidRPr="00334E1A" w:rsidR="00334E1A">
              <w:rPr>
                <w:sz w:val="22"/>
                <w:szCs w:val="22"/>
              </w:rPr>
              <w:t>November 15</w:t>
            </w:r>
            <w:r w:rsidRPr="00334E1A" w:rsidR="00D148D6">
              <w:rPr>
                <w:sz w:val="22"/>
                <w:szCs w:val="22"/>
              </w:rPr>
              <w:t>, 201</w:t>
            </w:r>
            <w:r w:rsidRPr="00334E1A" w:rsidR="00323539">
              <w:rPr>
                <w:sz w:val="22"/>
                <w:szCs w:val="22"/>
              </w:rPr>
              <w:t>8</w:t>
            </w:r>
            <w:r w:rsidRPr="00334E1A">
              <w:rPr>
                <w:sz w:val="22"/>
                <w:szCs w:val="22"/>
              </w:rPr>
              <w:t>:</w:t>
            </w:r>
          </w:p>
          <w:p w:rsidR="00D75A72" w:rsidP="00A41840">
            <w:pPr>
              <w:tabs>
                <w:tab w:val="left" w:pos="8640"/>
              </w:tabs>
              <w:rPr>
                <w:b/>
                <w:bCs/>
                <w:sz w:val="22"/>
                <w:szCs w:val="22"/>
              </w:rPr>
            </w:pPr>
            <w:bookmarkStart w:id="1" w:name="_Hlk528064071"/>
          </w:p>
          <w:p w:rsidR="00772250" w:rsidRPr="00772250" w:rsidP="00772250">
            <w:pPr>
              <w:tabs>
                <w:tab w:val="left" w:pos="8640"/>
              </w:tabs>
              <w:rPr>
                <w:sz w:val="22"/>
                <w:szCs w:val="22"/>
              </w:rPr>
            </w:pPr>
            <w:r w:rsidRPr="00772250">
              <w:rPr>
                <w:b/>
                <w:sz w:val="22"/>
                <w:szCs w:val="22"/>
              </w:rPr>
              <w:t>Galileo Order</w:t>
            </w:r>
            <w:r w:rsidRPr="00772250">
              <w:rPr>
                <w:sz w:val="22"/>
                <w:szCs w:val="22"/>
              </w:rPr>
              <w:t xml:space="preserve"> – The Commission will consider an Order that addresses waivers of certain satellite licensing requirements for receive-only earth stations operating with the Galileo Radionavigation-Satellite Service.  (IB Docket No. 17-16)</w:t>
            </w:r>
          </w:p>
          <w:p w:rsidR="00D75A72" w:rsidP="00D75A72">
            <w:pPr>
              <w:tabs>
                <w:tab w:val="left" w:pos="8640"/>
              </w:tabs>
              <w:rPr>
                <w:b/>
                <w:sz w:val="22"/>
                <w:szCs w:val="22"/>
              </w:rPr>
            </w:pPr>
          </w:p>
          <w:p w:rsidR="00D75A72" w:rsidRPr="00772250" w:rsidP="00D75A72">
            <w:pPr>
              <w:tabs>
                <w:tab w:val="left" w:pos="8640"/>
              </w:tabs>
              <w:rPr>
                <w:sz w:val="22"/>
                <w:szCs w:val="22"/>
              </w:rPr>
            </w:pPr>
            <w:r w:rsidRPr="00772250">
              <w:rPr>
                <w:b/>
                <w:sz w:val="22"/>
                <w:szCs w:val="22"/>
              </w:rPr>
              <w:t>Mitigation of Orbital Debris in the New Space Age</w:t>
            </w:r>
            <w:r w:rsidRPr="00772250">
              <w:rPr>
                <w:sz w:val="22"/>
                <w:szCs w:val="22"/>
              </w:rPr>
              <w:t xml:space="preserve"> – The Commission will consider a Notice of Proposed Rulemaking addressing comprehensive updates to the Commission’s orbital debris rules for all Commission-authorized satellites.  (IB Docket No. 18-313)</w:t>
            </w:r>
          </w:p>
          <w:p w:rsidR="00772250" w:rsidRPr="00772250" w:rsidP="00772250">
            <w:pPr>
              <w:tabs>
                <w:tab w:val="left" w:pos="8640"/>
              </w:tabs>
              <w:rPr>
                <w:sz w:val="22"/>
                <w:szCs w:val="22"/>
              </w:rPr>
            </w:pPr>
            <w:bookmarkStart w:id="2" w:name="_GoBack"/>
            <w:bookmarkEnd w:id="2"/>
          </w:p>
          <w:p w:rsidR="00772250" w:rsidP="00772250">
            <w:pPr>
              <w:tabs>
                <w:tab w:val="left" w:pos="8640"/>
              </w:tabs>
              <w:rPr>
                <w:sz w:val="22"/>
                <w:szCs w:val="22"/>
              </w:rPr>
            </w:pPr>
            <w:r w:rsidRPr="00772250">
              <w:rPr>
                <w:b/>
                <w:sz w:val="22"/>
                <w:szCs w:val="22"/>
              </w:rPr>
              <w:t>Facilitating Satellite Earth Stations in Motion</w:t>
            </w:r>
            <w:r w:rsidRPr="00772250">
              <w:rPr>
                <w:sz w:val="22"/>
                <w:szCs w:val="22"/>
              </w:rPr>
              <w:t xml:space="preserve"> – The Commission will consider a Notice of Proposed Rulemaking addressing rules to facilitate the deployment of non-geostationary-orbit (NGSO) fixed-satellite service earth stations that transmit while in motion.  (IB Docket No. 18-315)</w:t>
            </w:r>
          </w:p>
          <w:p w:rsidR="00D75A72" w:rsidRPr="00772250" w:rsidP="00D75A72">
            <w:pPr>
              <w:tabs>
                <w:tab w:val="left" w:pos="8640"/>
              </w:tabs>
              <w:rPr>
                <w:sz w:val="22"/>
                <w:szCs w:val="22"/>
              </w:rPr>
            </w:pPr>
          </w:p>
          <w:p w:rsidR="00D75A72" w:rsidRPr="00772250" w:rsidP="000E694B">
            <w:pPr>
              <w:shd w:val="clear" w:color="auto" w:fill="FFFFFF" w:themeFill="background1"/>
              <w:tabs>
                <w:tab w:val="left" w:pos="8640"/>
              </w:tabs>
              <w:rPr>
                <w:sz w:val="22"/>
                <w:szCs w:val="22"/>
              </w:rPr>
            </w:pPr>
            <w:r w:rsidRPr="00772250">
              <w:rPr>
                <w:b/>
                <w:sz w:val="22"/>
                <w:szCs w:val="22"/>
              </w:rPr>
              <w:t>SpaceX V-Band Authorization</w:t>
            </w:r>
            <w:r w:rsidRPr="00772250">
              <w:rPr>
                <w:sz w:val="22"/>
                <w:szCs w:val="22"/>
              </w:rPr>
              <w:t xml:space="preserve"> – The Commission will consider a Memorandum Opinion, Order and Authorization that </w:t>
            </w:r>
            <w:r w:rsidRPr="000E694B" w:rsidR="000E694B">
              <w:rPr>
                <w:sz w:val="22"/>
                <w:szCs w:val="22"/>
                <w:shd w:val="clear" w:color="auto" w:fill="FFFFFF" w:themeFill="background1"/>
              </w:rPr>
              <w:t>would grant</w:t>
            </w:r>
            <w:r w:rsidRPr="00772250">
              <w:rPr>
                <w:sz w:val="22"/>
                <w:szCs w:val="22"/>
              </w:rPr>
              <w:t xml:space="preserve"> SpaceX’s request to deploy and operate a proposed non-geostationary constellation to provide broadband services around the world.  (IBFS File No. SAT-LOA-20170301-00027)</w:t>
            </w:r>
          </w:p>
          <w:p w:rsidR="00D75A72" w:rsidRPr="00772250" w:rsidP="000E694B">
            <w:pPr>
              <w:shd w:val="clear" w:color="auto" w:fill="FFFFFF" w:themeFill="background1"/>
              <w:tabs>
                <w:tab w:val="left" w:pos="8640"/>
              </w:tabs>
              <w:rPr>
                <w:sz w:val="22"/>
                <w:szCs w:val="22"/>
              </w:rPr>
            </w:pPr>
            <w:r w:rsidRPr="00772250">
              <w:rPr>
                <w:sz w:val="22"/>
                <w:szCs w:val="22"/>
              </w:rPr>
              <w:t xml:space="preserve"> </w:t>
            </w:r>
          </w:p>
          <w:p w:rsidR="00D75A72" w:rsidRPr="00772250" w:rsidP="000E694B">
            <w:pPr>
              <w:shd w:val="clear" w:color="auto" w:fill="FFFFFF" w:themeFill="background1"/>
              <w:tabs>
                <w:tab w:val="left" w:pos="8640"/>
              </w:tabs>
              <w:rPr>
                <w:sz w:val="22"/>
                <w:szCs w:val="22"/>
              </w:rPr>
            </w:pPr>
            <w:r w:rsidRPr="00772250">
              <w:rPr>
                <w:b/>
                <w:sz w:val="22"/>
                <w:szCs w:val="22"/>
              </w:rPr>
              <w:t>Kepler Communications Market Access Request</w:t>
            </w:r>
            <w:r w:rsidRPr="00772250">
              <w:rPr>
                <w:sz w:val="22"/>
                <w:szCs w:val="22"/>
              </w:rPr>
              <w:t xml:space="preserve"> – The Commission will consider an Order and Declaratory Ruling that </w:t>
            </w:r>
            <w:r w:rsidRPr="000E694B" w:rsidR="000E694B">
              <w:rPr>
                <w:sz w:val="22"/>
                <w:szCs w:val="22"/>
                <w:shd w:val="clear" w:color="auto" w:fill="FFFFFF" w:themeFill="background1"/>
              </w:rPr>
              <w:t>would grant</w:t>
            </w:r>
            <w:r w:rsidRPr="00772250" w:rsidR="000E694B">
              <w:rPr>
                <w:sz w:val="22"/>
                <w:szCs w:val="22"/>
              </w:rPr>
              <w:t xml:space="preserve"> </w:t>
            </w:r>
            <w:r w:rsidRPr="00772250">
              <w:rPr>
                <w:sz w:val="22"/>
                <w:szCs w:val="22"/>
              </w:rPr>
              <w:t>Kepler’s request for U.S. market access to offer global connectivity for the Internet of Things using a proposed constellation of non-geostationary orbit satellites.  (IBFS File No. SAT-PDR-20161115-00114)</w:t>
            </w:r>
          </w:p>
          <w:p w:rsidR="00D75A72" w:rsidRPr="00772250" w:rsidP="000E694B">
            <w:pPr>
              <w:shd w:val="clear" w:color="auto" w:fill="FFFFFF" w:themeFill="background1"/>
              <w:tabs>
                <w:tab w:val="left" w:pos="8640"/>
              </w:tabs>
              <w:rPr>
                <w:sz w:val="22"/>
                <w:szCs w:val="22"/>
              </w:rPr>
            </w:pPr>
          </w:p>
          <w:p w:rsidR="00D75A72" w:rsidRPr="00772250" w:rsidP="000E694B">
            <w:pPr>
              <w:shd w:val="clear" w:color="auto" w:fill="FFFFFF" w:themeFill="background1"/>
              <w:tabs>
                <w:tab w:val="left" w:pos="8640"/>
              </w:tabs>
              <w:rPr>
                <w:sz w:val="22"/>
                <w:szCs w:val="22"/>
              </w:rPr>
            </w:pPr>
            <w:r w:rsidRPr="00772250">
              <w:rPr>
                <w:b/>
                <w:sz w:val="22"/>
                <w:szCs w:val="22"/>
              </w:rPr>
              <w:t>Telesat V-Band Market Access Request</w:t>
            </w:r>
            <w:r w:rsidRPr="00772250">
              <w:rPr>
                <w:sz w:val="22"/>
                <w:szCs w:val="22"/>
              </w:rPr>
              <w:t xml:space="preserve"> – The Commission will consider an Order and Declaratory Ruling that </w:t>
            </w:r>
            <w:r w:rsidRPr="000E694B" w:rsidR="000E694B">
              <w:rPr>
                <w:sz w:val="22"/>
                <w:szCs w:val="22"/>
                <w:shd w:val="clear" w:color="auto" w:fill="FFFFFF" w:themeFill="background1"/>
              </w:rPr>
              <w:t>would grant</w:t>
            </w:r>
            <w:r w:rsidRPr="00772250" w:rsidR="000E694B">
              <w:rPr>
                <w:sz w:val="22"/>
                <w:szCs w:val="22"/>
              </w:rPr>
              <w:t xml:space="preserve"> </w:t>
            </w:r>
            <w:r w:rsidRPr="00772250">
              <w:rPr>
                <w:sz w:val="22"/>
                <w:szCs w:val="22"/>
              </w:rPr>
              <w:t>Telesat’s request to access the U.S. market to provide broadband services using a proposed constellation of non-geostationary orbit satellites.  (IBFS File No. SAT-PDR-20170301-00023)</w:t>
            </w:r>
          </w:p>
          <w:p w:rsidR="00D75A72" w:rsidRPr="00772250" w:rsidP="000E694B">
            <w:pPr>
              <w:shd w:val="clear" w:color="auto" w:fill="FFFFFF" w:themeFill="background1"/>
              <w:tabs>
                <w:tab w:val="left" w:pos="8640"/>
              </w:tabs>
              <w:rPr>
                <w:sz w:val="22"/>
                <w:szCs w:val="22"/>
              </w:rPr>
            </w:pPr>
          </w:p>
          <w:p w:rsidR="00D75A72" w:rsidP="000E694B">
            <w:pPr>
              <w:shd w:val="clear" w:color="auto" w:fill="FFFFFF" w:themeFill="background1"/>
              <w:tabs>
                <w:tab w:val="left" w:pos="8640"/>
              </w:tabs>
              <w:rPr>
                <w:sz w:val="22"/>
                <w:szCs w:val="22"/>
              </w:rPr>
            </w:pPr>
            <w:r w:rsidRPr="00772250">
              <w:rPr>
                <w:b/>
                <w:sz w:val="22"/>
                <w:szCs w:val="22"/>
              </w:rPr>
              <w:t>LeoSat Market Access Request</w:t>
            </w:r>
            <w:r w:rsidRPr="00772250">
              <w:rPr>
                <w:sz w:val="22"/>
                <w:szCs w:val="22"/>
              </w:rPr>
              <w:t xml:space="preserve"> – The Commission will consider an Order and Declaratory Ruling that </w:t>
            </w:r>
            <w:r w:rsidRPr="000E694B" w:rsidR="000E694B">
              <w:rPr>
                <w:sz w:val="22"/>
                <w:szCs w:val="22"/>
                <w:shd w:val="clear" w:color="auto" w:fill="FFFFFF" w:themeFill="background1"/>
              </w:rPr>
              <w:t>would grant</w:t>
            </w:r>
            <w:r w:rsidRPr="00772250" w:rsidR="000E694B">
              <w:rPr>
                <w:sz w:val="22"/>
                <w:szCs w:val="22"/>
              </w:rPr>
              <w:t xml:space="preserve"> </w:t>
            </w:r>
            <w:r w:rsidRPr="00772250">
              <w:rPr>
                <w:sz w:val="22"/>
                <w:szCs w:val="22"/>
              </w:rPr>
              <w:t>LeoSat’s request for U.S. market access to provide satellite broadband services in the United States using a proposed constellation of non-geostationary orbit satellites, including high-speed connectivity for enterprises.  (IBFS File No. SAT-PDR-20161115-00112)</w:t>
            </w:r>
          </w:p>
          <w:p w:rsidR="00D75A72" w:rsidP="00D75A72">
            <w:pPr>
              <w:tabs>
                <w:tab w:val="left" w:pos="8640"/>
              </w:tabs>
              <w:rPr>
                <w:sz w:val="22"/>
                <w:szCs w:val="22"/>
              </w:rPr>
            </w:pPr>
          </w:p>
          <w:p w:rsidR="00D75A72" w:rsidRPr="00772250" w:rsidP="00D75A72">
            <w:pPr>
              <w:tabs>
                <w:tab w:val="left" w:pos="8640"/>
              </w:tabs>
              <w:rPr>
                <w:sz w:val="22"/>
                <w:szCs w:val="22"/>
              </w:rPr>
            </w:pPr>
            <w:r w:rsidRPr="00772250">
              <w:rPr>
                <w:b/>
                <w:sz w:val="22"/>
                <w:szCs w:val="22"/>
              </w:rPr>
              <w:t>Further Streamlining of Satellite Regulations</w:t>
            </w:r>
            <w:r w:rsidRPr="00772250">
              <w:rPr>
                <w:sz w:val="22"/>
                <w:szCs w:val="22"/>
              </w:rPr>
              <w:t xml:space="preserve"> – The Commission will consider a Notice of Proposed Rulemaking addressing additional streamlining of space and earth station licensing rules.  (IB Docket No. 18-314)</w:t>
            </w:r>
          </w:p>
          <w:p w:rsidR="00772250" w:rsidRPr="00772250" w:rsidP="00772250">
            <w:pPr>
              <w:tabs>
                <w:tab w:val="left" w:pos="8640"/>
              </w:tabs>
              <w:rPr>
                <w:sz w:val="22"/>
                <w:szCs w:val="22"/>
              </w:rPr>
            </w:pPr>
            <w:r w:rsidRPr="00772250">
              <w:rPr>
                <w:sz w:val="22"/>
                <w:szCs w:val="22"/>
              </w:rPr>
              <w:t xml:space="preserve"> </w:t>
            </w:r>
          </w:p>
          <w:p w:rsidR="00772250" w:rsidRPr="00772250" w:rsidP="00772250">
            <w:pPr>
              <w:tabs>
                <w:tab w:val="left" w:pos="8640"/>
              </w:tabs>
              <w:rPr>
                <w:sz w:val="22"/>
                <w:szCs w:val="22"/>
              </w:rPr>
            </w:pPr>
            <w:r w:rsidRPr="00772250">
              <w:rPr>
                <w:b/>
                <w:sz w:val="22"/>
                <w:szCs w:val="22"/>
              </w:rPr>
              <w:t>Updating and Streamlining Rules for the Direct Broadcast Satellite Service</w:t>
            </w:r>
            <w:r w:rsidRPr="00772250">
              <w:rPr>
                <w:sz w:val="22"/>
                <w:szCs w:val="22"/>
              </w:rPr>
              <w:t xml:space="preserve"> – The Commission will consider a Notice of Proposed Rulemaking to align the DBS licensing procedures with those of the geostationary fixed-satellite service.  (IB Docket No. 06-160)</w:t>
            </w:r>
          </w:p>
          <w:p w:rsidR="00772250" w:rsidRPr="00772250" w:rsidP="00D75A72">
            <w:pPr>
              <w:tabs>
                <w:tab w:val="left" w:pos="8640"/>
              </w:tabs>
              <w:rPr>
                <w:sz w:val="22"/>
                <w:szCs w:val="22"/>
              </w:rPr>
            </w:pPr>
            <w:r w:rsidRPr="00772250">
              <w:rPr>
                <w:sz w:val="22"/>
                <w:szCs w:val="22"/>
              </w:rPr>
              <w:t xml:space="preserve"> </w:t>
            </w:r>
          </w:p>
          <w:p w:rsidR="00331719" w:rsidP="00331719">
            <w:pPr>
              <w:tabs>
                <w:tab w:val="left" w:pos="8640"/>
              </w:tabs>
              <w:rPr>
                <w:sz w:val="22"/>
                <w:szCs w:val="22"/>
              </w:rPr>
            </w:pPr>
            <w:r w:rsidRPr="00331719">
              <w:rPr>
                <w:b/>
                <w:sz w:val="22"/>
                <w:szCs w:val="22"/>
              </w:rPr>
              <w:t>Electronic Delivery of MVPD Communications</w:t>
            </w:r>
            <w:r w:rsidRPr="00331719">
              <w:rPr>
                <w:sz w:val="22"/>
                <w:szCs w:val="22"/>
              </w:rPr>
              <w:t xml:space="preserve"> </w:t>
            </w:r>
            <w:r>
              <w:rPr>
                <w:sz w:val="22"/>
                <w:szCs w:val="22"/>
              </w:rPr>
              <w:t xml:space="preserve">– </w:t>
            </w:r>
            <w:r w:rsidRPr="00331719">
              <w:rPr>
                <w:sz w:val="22"/>
                <w:szCs w:val="22"/>
              </w:rPr>
              <w:t>The Commission will consider a Report and Order that would modernize certain consumer notice provisions in Part 76 of the FCC’s Rules governing multichannel video and cable television service.</w:t>
            </w:r>
            <w:r>
              <w:rPr>
                <w:sz w:val="22"/>
                <w:szCs w:val="22"/>
              </w:rPr>
              <w:t xml:space="preserve">  </w:t>
            </w:r>
            <w:r w:rsidRPr="00331719">
              <w:rPr>
                <w:sz w:val="22"/>
                <w:szCs w:val="22"/>
              </w:rPr>
              <w:t>(MB Docket No</w:t>
            </w:r>
            <w:r>
              <w:rPr>
                <w:sz w:val="22"/>
                <w:szCs w:val="22"/>
              </w:rPr>
              <w:t>s</w:t>
            </w:r>
            <w:r w:rsidRPr="00331719">
              <w:rPr>
                <w:sz w:val="22"/>
                <w:szCs w:val="22"/>
              </w:rPr>
              <w:t>. 17-317</w:t>
            </w:r>
            <w:r>
              <w:rPr>
                <w:sz w:val="22"/>
                <w:szCs w:val="22"/>
              </w:rPr>
              <w:t xml:space="preserve">, </w:t>
            </w:r>
            <w:r w:rsidR="00D75A72">
              <w:rPr>
                <w:sz w:val="22"/>
                <w:szCs w:val="22"/>
              </w:rPr>
              <w:t>17-105)</w:t>
            </w:r>
          </w:p>
          <w:p w:rsidR="00331719" w:rsidP="00772250">
            <w:pPr>
              <w:tabs>
                <w:tab w:val="left" w:pos="8640"/>
              </w:tabs>
              <w:rPr>
                <w:sz w:val="22"/>
                <w:szCs w:val="22"/>
              </w:rPr>
            </w:pPr>
          </w:p>
          <w:p w:rsidR="002114C3" w:rsidRPr="002114C3" w:rsidP="002114C3">
            <w:pPr>
              <w:tabs>
                <w:tab w:val="left" w:pos="8640"/>
              </w:tabs>
              <w:rPr>
                <w:b/>
                <w:bCs/>
                <w:sz w:val="22"/>
                <w:szCs w:val="22"/>
              </w:rPr>
            </w:pPr>
            <w:r w:rsidRPr="002114C3">
              <w:rPr>
                <w:b/>
                <w:bCs/>
                <w:sz w:val="22"/>
                <w:szCs w:val="22"/>
              </w:rPr>
              <w:t xml:space="preserve">Wireless Hearing Aid Compatibility – </w:t>
            </w:r>
            <w:r w:rsidRPr="002114C3">
              <w:rPr>
                <w:bCs/>
                <w:sz w:val="22"/>
                <w:szCs w:val="22"/>
              </w:rPr>
              <w:t>The Commission will consider a Report and Order that would replace requirements for wireless service providers to report annually on their offerings of hearing aid-compatible handsets with a requirement to provide enhanced information on their websites and to certify annually whether providers are in full compliance with the hearing aid compatibility rules.  (WT Docket No. 17-228)</w:t>
            </w:r>
            <w:r w:rsidRPr="002114C3">
              <w:rPr>
                <w:b/>
                <w:bCs/>
                <w:sz w:val="22"/>
                <w:szCs w:val="22"/>
              </w:rPr>
              <w:t xml:space="preserve"> </w:t>
            </w:r>
          </w:p>
          <w:p w:rsidR="00772250" w:rsidP="00772250">
            <w:pPr>
              <w:tabs>
                <w:tab w:val="left" w:pos="8640"/>
              </w:tabs>
              <w:rPr>
                <w:sz w:val="22"/>
                <w:szCs w:val="22"/>
              </w:rPr>
            </w:pPr>
            <w:bookmarkEnd w:id="1"/>
          </w:p>
          <w:p w:rsidR="002819BC" w:rsidRPr="00A41840" w:rsidP="00A41840">
            <w:pPr>
              <w:tabs>
                <w:tab w:val="left" w:pos="8640"/>
              </w:tabs>
              <w:rPr>
                <w:sz w:val="22"/>
                <w:szCs w:val="22"/>
              </w:rPr>
            </w:pPr>
          </w:p>
          <w:p w:rsidR="00D569AA" w:rsidRPr="00D569AA" w:rsidP="00D569AA">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r>
              <w:fldChar w:fldCharType="begin"/>
            </w:r>
            <w:r>
              <w:instrText xml:space="preserve"> HYPERLINK "http://www.fcc.gov/openmeeting" </w:instrText>
            </w:r>
            <w:r>
              <w:fldChar w:fldCharType="separate"/>
            </w:r>
            <w:r w:rsidRPr="000B4CA4">
              <w:rPr>
                <w:rStyle w:val="Hyperlink"/>
                <w:sz w:val="22"/>
                <w:szCs w:val="22"/>
              </w:rPr>
              <w:t>www.fcc.gov/openmeeting</w:t>
            </w:r>
            <w:r>
              <w:fldChar w:fldCharType="end"/>
            </w:r>
            <w:r w:rsidRPr="00D569AA">
              <w:rPr>
                <w:bCs/>
                <w:sz w:val="22"/>
                <w:szCs w:val="22"/>
              </w:rPr>
              <w:t>.</w:t>
            </w:r>
            <w:r>
              <w:rPr>
                <w:bCs/>
                <w:sz w:val="22"/>
                <w:szCs w:val="22"/>
              </w:rPr>
              <w:t xml:space="preserve"> </w:t>
            </w:r>
            <w:r w:rsidRPr="00D569AA">
              <w:rPr>
                <w:bCs/>
                <w:sz w:val="22"/>
                <w:szCs w:val="22"/>
              </w:rPr>
              <w:t xml:space="preserve"> </w:t>
            </w:r>
          </w:p>
          <w:p w:rsidR="00D569AA" w:rsidRPr="00D569AA" w:rsidP="00D569AA">
            <w:pPr>
              <w:tabs>
                <w:tab w:val="left" w:pos="8640"/>
              </w:tabs>
              <w:rPr>
                <w:bCs/>
                <w:sz w:val="22"/>
                <w:szCs w:val="22"/>
              </w:rPr>
            </w:pPr>
          </w:p>
          <w:p w:rsidR="00D569AA" w:rsidRPr="00D569AA" w:rsidP="00D569AA">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r>
              <w:fldChar w:fldCharType="begin"/>
            </w:r>
            <w:r>
              <w:instrText xml:space="preserve"> HYPERLINK "http://www.fcc.gov/live" </w:instrText>
            </w:r>
            <w:r>
              <w:fldChar w:fldCharType="separate"/>
            </w:r>
            <w:r w:rsidRPr="000B4CA4">
              <w:rPr>
                <w:rStyle w:val="Hyperlink"/>
                <w:sz w:val="22"/>
                <w:szCs w:val="22"/>
              </w:rPr>
              <w:t>www.fcc.gov/live</w:t>
            </w:r>
            <w:r>
              <w:fldChar w:fldCharType="end"/>
            </w:r>
            <w:r>
              <w:rPr>
                <w:bCs/>
                <w:sz w:val="22"/>
                <w:szCs w:val="22"/>
              </w:rPr>
              <w:t xml:space="preserve"> </w:t>
            </w:r>
            <w:r w:rsidRPr="00D569AA">
              <w:rPr>
                <w:bCs/>
                <w:sz w:val="22"/>
                <w:szCs w:val="22"/>
              </w:rPr>
              <w:t>and can be followed on social media with #OpenMtgFCC.</w:t>
            </w:r>
          </w:p>
          <w:p w:rsidR="00D569AA" w:rsidRPr="00D569AA" w:rsidP="00D569AA">
            <w:pPr>
              <w:tabs>
                <w:tab w:val="left" w:pos="8640"/>
              </w:tabs>
              <w:rPr>
                <w:bCs/>
                <w:sz w:val="22"/>
                <w:szCs w:val="22"/>
              </w:rPr>
            </w:pPr>
          </w:p>
          <w:p w:rsidR="00323539" w:rsidRPr="00D569AA" w:rsidP="00D569AA">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pPr>
              <w:jc w:val="both"/>
              <w:rPr>
                <w:rStyle w:val="Hyperlink"/>
                <w:sz w:val="22"/>
                <w:szCs w:val="22"/>
              </w:rPr>
            </w:pPr>
          </w:p>
          <w:p w:rsidR="004F0F1F" w:rsidRPr="00641CD8" w:rsidP="00B47F70">
            <w:pPr>
              <w:ind w:right="72"/>
              <w:jc w:val="center"/>
              <w:rPr>
                <w:sz w:val="22"/>
                <w:szCs w:val="22"/>
              </w:rPr>
            </w:pPr>
            <w:r w:rsidRPr="00641CD8">
              <w:rPr>
                <w:sz w:val="22"/>
                <w:szCs w:val="22"/>
              </w:rPr>
              <w:t>###</w:t>
            </w:r>
          </w:p>
          <w:p w:rsidR="00E644FE" w:rsidRPr="006B0A70" w:rsidP="00B47F70">
            <w:pPr>
              <w:ind w:right="72"/>
              <w:jc w:val="center"/>
              <w:rPr>
                <w:b/>
                <w:bCs/>
                <w:sz w:val="18"/>
                <w:szCs w:val="18"/>
              </w:rPr>
            </w:pPr>
            <w:bookmarkEnd w:id="0"/>
            <w:r w:rsidRPr="00641CD8">
              <w:rPr>
                <w:b/>
                <w:bCs/>
                <w:sz w:val="22"/>
                <w:szCs w:val="22"/>
              </w:rPr>
              <w:br/>
            </w:r>
            <w:r w:rsidRPr="006B0A70">
              <w:rPr>
                <w:b/>
                <w:bCs/>
                <w:sz w:val="18"/>
                <w:szCs w:val="18"/>
              </w:rPr>
              <w:t>Office of Media Relations: 202.418.0500</w:t>
            </w:r>
          </w:p>
          <w:p w:rsidR="002819BC" w:rsidP="00B47F70">
            <w:pPr>
              <w:ind w:right="72"/>
              <w:jc w:val="center"/>
              <w:rPr>
                <w:b/>
                <w:bCs/>
                <w:sz w:val="18"/>
                <w:szCs w:val="18"/>
              </w:rPr>
            </w:pPr>
            <w:r>
              <w:rPr>
                <w:b/>
                <w:bCs/>
                <w:sz w:val="18"/>
                <w:szCs w:val="18"/>
              </w:rPr>
              <w:t xml:space="preserve">ASL Videophone: </w:t>
            </w:r>
            <w:r w:rsidRPr="00D9464F">
              <w:rPr>
                <w:b/>
                <w:bCs/>
                <w:sz w:val="18"/>
                <w:szCs w:val="18"/>
              </w:rPr>
              <w:t>844-432-2275</w:t>
            </w:r>
          </w:p>
          <w:p w:rsidR="002819BC" w:rsidP="00B47F70">
            <w:pPr>
              <w:ind w:right="72"/>
              <w:jc w:val="center"/>
              <w:rPr>
                <w:b/>
                <w:bCs/>
                <w:sz w:val="18"/>
                <w:szCs w:val="18"/>
              </w:rPr>
            </w:pPr>
            <w:r>
              <w:rPr>
                <w:b/>
                <w:bCs/>
                <w:sz w:val="18"/>
                <w:szCs w:val="18"/>
              </w:rPr>
              <w:t>Twitter: @FCC</w:t>
            </w:r>
          </w:p>
          <w:p w:rsidR="002819BC" w:rsidP="00B47F70">
            <w:pPr>
              <w:ind w:right="72"/>
              <w:jc w:val="center"/>
              <w:rPr>
                <w:b/>
                <w:bCs/>
                <w:sz w:val="18"/>
                <w:szCs w:val="18"/>
              </w:rPr>
            </w:pPr>
            <w:r>
              <w:rPr>
                <w:b/>
                <w:bCs/>
                <w:sz w:val="18"/>
                <w:szCs w:val="18"/>
              </w:rPr>
              <w:t>#OpenMtgFCC</w:t>
            </w:r>
          </w:p>
          <w:p w:rsidR="002819BC" w:rsidRPr="00EE0E90" w:rsidP="00B47F70">
            <w:pPr>
              <w:ind w:right="72"/>
              <w:jc w:val="center"/>
              <w:rPr>
                <w:b/>
                <w:bCs/>
                <w:sz w:val="18"/>
                <w:szCs w:val="18"/>
              </w:rPr>
            </w:pPr>
            <w:r>
              <w:rPr>
                <w:b/>
                <w:bCs/>
                <w:sz w:val="18"/>
                <w:szCs w:val="18"/>
              </w:rPr>
              <w:t>www.fcc.gov/</w:t>
            </w:r>
            <w:r w:rsidRPr="007B3A48">
              <w:rPr>
                <w:b/>
                <w:bCs/>
                <w:sz w:val="18"/>
                <w:szCs w:val="18"/>
              </w:rPr>
              <w:t>media-relations</w:t>
            </w:r>
          </w:p>
          <w:p w:rsidR="00EE0E90" w:rsidP="00B47F70">
            <w:pPr>
              <w:ind w:right="72"/>
              <w:jc w:val="center"/>
              <w:rPr>
                <w:b/>
                <w:bCs/>
                <w:sz w:val="18"/>
                <w:szCs w:val="18"/>
              </w:rPr>
            </w:pPr>
          </w:p>
          <w:p w:rsidR="00EE0E90" w:rsidRPr="00986C92" w:rsidP="00B47F70">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P="00142C13">
            <w:pPr>
              <w:ind w:left="360" w:right="498"/>
              <w:jc w:val="center"/>
              <w:rPr>
                <w:b/>
                <w:bCs/>
                <w:sz w:val="18"/>
                <w:szCs w:val="18"/>
              </w:rPr>
            </w:pPr>
          </w:p>
        </w:tc>
      </w:tr>
    </w:tbl>
    <w:p w:rsidR="004F0F1F">
      <w:pPr>
        <w:rPr>
          <w:b/>
          <w:bCs/>
          <w:sz w:val="32"/>
          <w:szCs w:val="32"/>
        </w:rPr>
      </w:pPr>
    </w:p>
    <w:p w:rsidR="00D24C3D">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682EA7"/>
    <w:multiLevelType w:val="multilevel"/>
    <w:tmpl w:val="FA24B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