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45604" w:rsidRPr="005500BA">
      <w:pPr>
        <w:tabs>
          <w:tab w:val="center" w:pos="4770"/>
        </w:tabs>
        <w:spacing w:line="226" w:lineRule="auto"/>
        <w:jc w:val="center"/>
        <w:rPr>
          <w:b/>
          <w:sz w:val="22"/>
        </w:rPr>
      </w:pPr>
      <w:r w:rsidRPr="005500BA">
        <w:rPr>
          <w:b/>
          <w:sz w:val="22"/>
        </w:rPr>
        <w:t>Before the</w:t>
      </w:r>
    </w:p>
    <w:p w:rsidR="00E45604" w:rsidRPr="005500BA">
      <w:pPr>
        <w:pStyle w:val="Heading2"/>
        <w:widowControl/>
        <w:tabs>
          <w:tab w:val="clear" w:pos="5040"/>
          <w:tab w:val="clear" w:pos="5760"/>
          <w:tab w:val="clear" w:pos="6480"/>
          <w:tab w:val="clear" w:pos="7200"/>
          <w:tab w:val="clear" w:pos="7920"/>
          <w:tab w:val="clear" w:pos="8640"/>
          <w:tab w:val="clear" w:pos="9360"/>
        </w:tabs>
        <w:spacing w:line="226" w:lineRule="auto"/>
      </w:pPr>
      <w:r w:rsidRPr="005500BA">
        <w:t>Federal Communications Commission</w:t>
      </w:r>
    </w:p>
    <w:p w:rsidR="00E45604" w:rsidRPr="005500BA">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500BA">
            <w:t>Washington</w:t>
          </w:r>
        </w:smartTag>
        <w:r w:rsidRPr="005500BA">
          <w:t xml:space="preserve">, </w:t>
        </w:r>
        <w:smartTag w:uri="urn:schemas-microsoft-com:office:smarttags" w:element="State">
          <w:r w:rsidRPr="005500BA">
            <w:t>D.C.</w:t>
          </w:r>
        </w:smartTag>
        <w:r w:rsidRPr="005500BA">
          <w:t xml:space="preserve"> </w:t>
        </w:r>
        <w:smartTag w:uri="urn:schemas-microsoft-com:office:smarttags" w:element="PostalCode">
          <w:r w:rsidRPr="005500BA">
            <w:t>20554</w:t>
          </w:r>
        </w:smartTag>
      </w:smartTag>
    </w:p>
    <w:p w:rsidR="00E45604" w:rsidRPr="005500BA">
      <w:pPr>
        <w:tabs>
          <w:tab w:val="left" w:pos="4680"/>
        </w:tabs>
        <w:spacing w:line="226" w:lineRule="auto"/>
        <w:jc w:val="center"/>
        <w:rPr>
          <w:sz w:val="22"/>
        </w:rPr>
      </w:pPr>
    </w:p>
    <w:p w:rsidR="00E45604" w:rsidRPr="005500BA">
      <w:pPr>
        <w:pStyle w:val="BodyText2"/>
        <w:tabs>
          <w:tab w:val="left" w:pos="4680"/>
        </w:tabs>
        <w:spacing w:line="226" w:lineRule="auto"/>
      </w:pPr>
    </w:p>
    <w:p w:rsidR="00E45604" w:rsidRPr="00CF1244" w:rsidP="00390372">
      <w:pPr>
        <w:pStyle w:val="BodyText"/>
        <w:tabs>
          <w:tab w:val="left" w:pos="4680"/>
          <w:tab w:val="left" w:pos="5760"/>
          <w:tab w:val="left" w:pos="6300"/>
        </w:tabs>
        <w:rPr>
          <w:szCs w:val="22"/>
        </w:rPr>
      </w:pPr>
      <w:r w:rsidRPr="00CF1244">
        <w:rPr>
          <w:szCs w:val="22"/>
        </w:rPr>
        <w:t>In the Matter of</w:t>
      </w:r>
      <w:r w:rsidRPr="00CF1244">
        <w:rPr>
          <w:szCs w:val="22"/>
        </w:rPr>
        <w:tab/>
        <w:t>)</w:t>
      </w:r>
    </w:p>
    <w:p w:rsidR="00E45604" w:rsidRPr="00CF1244" w:rsidP="00390372">
      <w:pPr>
        <w:tabs>
          <w:tab w:val="left" w:pos="4680"/>
          <w:tab w:val="left" w:pos="5760"/>
          <w:tab w:val="left" w:pos="6300"/>
        </w:tabs>
        <w:spacing w:line="226" w:lineRule="auto"/>
        <w:rPr>
          <w:sz w:val="22"/>
          <w:szCs w:val="22"/>
        </w:rPr>
      </w:pPr>
      <w:r w:rsidRPr="00CF1244">
        <w:rPr>
          <w:sz w:val="22"/>
          <w:szCs w:val="22"/>
        </w:rPr>
        <w:tab/>
        <w:t>)</w:t>
      </w:r>
    </w:p>
    <w:p w:rsidR="00E45604" w:rsidRPr="00CF1244" w:rsidP="00FB73E9">
      <w:pPr>
        <w:tabs>
          <w:tab w:val="left" w:pos="4680"/>
          <w:tab w:val="left" w:pos="5760"/>
          <w:tab w:val="left" w:pos="6480"/>
        </w:tabs>
        <w:spacing w:line="226" w:lineRule="auto"/>
        <w:jc w:val="both"/>
        <w:rPr>
          <w:sz w:val="22"/>
          <w:szCs w:val="22"/>
        </w:rPr>
      </w:pPr>
      <w:r>
        <w:rPr>
          <w:sz w:val="22"/>
          <w:szCs w:val="22"/>
        </w:rPr>
        <w:t>The Vacation Channel, LLC</w:t>
      </w:r>
      <w:r w:rsidR="00FD17F6">
        <w:rPr>
          <w:sz w:val="22"/>
          <w:szCs w:val="22"/>
        </w:rPr>
        <w:t xml:space="preserve"> </w:t>
      </w:r>
      <w:r w:rsidRPr="00CF1244">
        <w:rPr>
          <w:sz w:val="22"/>
          <w:szCs w:val="22"/>
        </w:rPr>
        <w:tab/>
        <w:t>)</w:t>
      </w:r>
      <w:r w:rsidR="009D5BA1">
        <w:rPr>
          <w:sz w:val="22"/>
          <w:szCs w:val="22"/>
        </w:rPr>
        <w:t xml:space="preserve">                  File No.:  EB-FIELDNER-1</w:t>
      </w:r>
      <w:r>
        <w:rPr>
          <w:sz w:val="22"/>
          <w:szCs w:val="22"/>
        </w:rPr>
        <w:t>8</w:t>
      </w:r>
      <w:r w:rsidR="009D5BA1">
        <w:rPr>
          <w:sz w:val="22"/>
          <w:szCs w:val="22"/>
        </w:rPr>
        <w:t>-000</w:t>
      </w:r>
      <w:r w:rsidR="0037199A">
        <w:rPr>
          <w:sz w:val="22"/>
          <w:szCs w:val="22"/>
        </w:rPr>
        <w:t>27592</w:t>
      </w:r>
    </w:p>
    <w:p w:rsidR="00530E66" w:rsidP="00FB73E9">
      <w:pPr>
        <w:tabs>
          <w:tab w:val="left" w:pos="4680"/>
          <w:tab w:val="left" w:pos="5760"/>
          <w:tab w:val="left" w:pos="6480"/>
        </w:tabs>
        <w:spacing w:line="226" w:lineRule="auto"/>
        <w:jc w:val="both"/>
        <w:rPr>
          <w:sz w:val="22"/>
          <w:szCs w:val="22"/>
        </w:rPr>
      </w:pPr>
      <w:r>
        <w:rPr>
          <w:sz w:val="22"/>
          <w:szCs w:val="22"/>
        </w:rPr>
        <w:tab/>
        <w:t>)</w:t>
      </w:r>
    </w:p>
    <w:p w:rsidR="00603127" w:rsidP="00FB73E9">
      <w:pPr>
        <w:tabs>
          <w:tab w:val="left" w:pos="4680"/>
          <w:tab w:val="left" w:pos="5760"/>
          <w:tab w:val="left" w:pos="6480"/>
        </w:tabs>
        <w:spacing w:line="226" w:lineRule="auto"/>
        <w:jc w:val="both"/>
        <w:rPr>
          <w:sz w:val="22"/>
          <w:szCs w:val="22"/>
        </w:rPr>
      </w:pPr>
      <w:r>
        <w:rPr>
          <w:sz w:val="22"/>
          <w:szCs w:val="22"/>
        </w:rPr>
        <w:t xml:space="preserve">Licensee of Station </w:t>
      </w:r>
      <w:r w:rsidR="00DD3074">
        <w:rPr>
          <w:sz w:val="22"/>
          <w:szCs w:val="22"/>
        </w:rPr>
        <w:t>KBNS-</w:t>
      </w:r>
      <w:r w:rsidR="00595C99">
        <w:rPr>
          <w:sz w:val="22"/>
          <w:szCs w:val="22"/>
        </w:rPr>
        <w:t>C</w:t>
      </w:r>
      <w:r>
        <w:rPr>
          <w:sz w:val="22"/>
          <w:szCs w:val="22"/>
        </w:rPr>
        <w:t>D</w:t>
      </w:r>
    </w:p>
    <w:p w:rsidR="0054044D" w:rsidP="00FB73E9">
      <w:pPr>
        <w:tabs>
          <w:tab w:val="left" w:pos="4680"/>
          <w:tab w:val="left" w:pos="5760"/>
          <w:tab w:val="left" w:pos="6480"/>
        </w:tabs>
        <w:spacing w:line="226" w:lineRule="auto"/>
        <w:jc w:val="both"/>
        <w:rPr>
          <w:sz w:val="22"/>
          <w:szCs w:val="22"/>
        </w:rPr>
      </w:pPr>
      <w:r>
        <w:rPr>
          <w:sz w:val="22"/>
          <w:szCs w:val="22"/>
        </w:rPr>
        <w:t>Facility ID:  168219</w:t>
      </w:r>
      <w:r>
        <w:rPr>
          <w:sz w:val="22"/>
          <w:szCs w:val="22"/>
        </w:rPr>
        <w:tab/>
        <w:t>)</w:t>
      </w:r>
      <w:r w:rsidRPr="00530E66" w:rsidR="00530E66">
        <w:rPr>
          <w:sz w:val="22"/>
          <w:szCs w:val="22"/>
        </w:rPr>
        <w:t xml:space="preserve"> </w:t>
      </w:r>
      <w:r w:rsidRPr="00CF1244" w:rsidR="00530E66">
        <w:rPr>
          <w:sz w:val="22"/>
          <w:szCs w:val="22"/>
        </w:rPr>
        <w:tab/>
      </w:r>
    </w:p>
    <w:p w:rsidR="00E45604" w:rsidRPr="00CF1244" w:rsidP="00390372">
      <w:pPr>
        <w:pStyle w:val="BodyText2"/>
        <w:tabs>
          <w:tab w:val="left" w:pos="4680"/>
          <w:tab w:val="left" w:pos="6300"/>
          <w:tab w:val="left" w:pos="6480"/>
        </w:tabs>
        <w:spacing w:line="226" w:lineRule="auto"/>
        <w:rPr>
          <w:szCs w:val="22"/>
        </w:rPr>
      </w:pPr>
      <w:r w:rsidRPr="00CF1244">
        <w:rPr>
          <w:szCs w:val="22"/>
        </w:rPr>
        <w:tab/>
        <w:t>)</w:t>
      </w:r>
    </w:p>
    <w:p w:rsidR="00E45604" w:rsidRPr="00CF1244" w:rsidP="002B1A58">
      <w:pPr>
        <w:pStyle w:val="BodyText2"/>
        <w:tabs>
          <w:tab w:val="left" w:pos="4680"/>
          <w:tab w:val="left" w:pos="5760"/>
          <w:tab w:val="left" w:pos="6300"/>
        </w:tabs>
        <w:spacing w:line="226" w:lineRule="auto"/>
        <w:rPr>
          <w:szCs w:val="22"/>
        </w:rPr>
      </w:pPr>
      <w:r>
        <w:rPr>
          <w:szCs w:val="22"/>
        </w:rPr>
        <w:t>Branson</w:t>
      </w:r>
      <w:r w:rsidR="00E147E5">
        <w:rPr>
          <w:szCs w:val="22"/>
        </w:rPr>
        <w:t>, Missouri</w:t>
      </w:r>
      <w:r w:rsidRPr="00CF1244">
        <w:rPr>
          <w:szCs w:val="22"/>
        </w:rPr>
        <w:tab/>
        <w:t>)</w:t>
      </w:r>
      <w:r w:rsidRPr="00530E66" w:rsidR="00530E66">
        <w:rPr>
          <w:szCs w:val="22"/>
        </w:rPr>
        <w:t xml:space="preserve"> </w:t>
      </w:r>
      <w:r w:rsidRPr="00CF1244" w:rsidR="00530E66">
        <w:rPr>
          <w:szCs w:val="22"/>
        </w:rPr>
        <w:tab/>
      </w:r>
      <w:r w:rsidR="00530E66">
        <w:rPr>
          <w:szCs w:val="22"/>
        </w:rPr>
        <w:t xml:space="preserve"> </w:t>
      </w:r>
    </w:p>
    <w:p w:rsidR="00E45604" w:rsidRPr="00CF1244" w:rsidP="002B1A58">
      <w:pPr>
        <w:pStyle w:val="BodyText2"/>
        <w:tabs>
          <w:tab w:val="left" w:pos="4680"/>
          <w:tab w:val="left" w:pos="5760"/>
          <w:tab w:val="left" w:pos="6300"/>
        </w:tabs>
        <w:spacing w:line="226" w:lineRule="auto"/>
        <w:rPr>
          <w:szCs w:val="22"/>
        </w:rPr>
      </w:pPr>
      <w:r w:rsidRPr="00CF1244">
        <w:rPr>
          <w:szCs w:val="22"/>
        </w:rPr>
        <w:tab/>
        <w:t>)</w:t>
      </w:r>
      <w:r w:rsidRPr="00530E66" w:rsidR="00530E66">
        <w:rPr>
          <w:szCs w:val="22"/>
        </w:rPr>
        <w:t xml:space="preserve"> </w:t>
      </w:r>
    </w:p>
    <w:p w:rsidR="00E45604" w:rsidRPr="00CF1244" w:rsidP="002B1A58">
      <w:pPr>
        <w:pStyle w:val="BodyText2"/>
        <w:tabs>
          <w:tab w:val="left" w:pos="4680"/>
          <w:tab w:val="left" w:pos="6300"/>
          <w:tab w:val="left" w:pos="6480"/>
        </w:tabs>
        <w:spacing w:line="226" w:lineRule="auto"/>
        <w:jc w:val="left"/>
        <w:rPr>
          <w:szCs w:val="22"/>
        </w:rPr>
      </w:pPr>
    </w:p>
    <w:p w:rsidR="00E45604" w:rsidRPr="00CF1244">
      <w:pPr>
        <w:tabs>
          <w:tab w:val="center" w:pos="4680"/>
          <w:tab w:val="left" w:pos="5760"/>
        </w:tabs>
        <w:spacing w:line="226" w:lineRule="auto"/>
        <w:jc w:val="both"/>
        <w:rPr>
          <w:sz w:val="22"/>
          <w:szCs w:val="22"/>
        </w:rPr>
      </w:pPr>
    </w:p>
    <w:p w:rsidR="00E45604" w:rsidRPr="00CF1244">
      <w:pPr>
        <w:pStyle w:val="Title"/>
        <w:tabs>
          <w:tab w:val="left" w:pos="5760"/>
        </w:tabs>
        <w:rPr>
          <w:sz w:val="22"/>
          <w:szCs w:val="22"/>
        </w:rPr>
      </w:pPr>
      <w:r w:rsidRPr="00CF1244">
        <w:rPr>
          <w:sz w:val="22"/>
          <w:szCs w:val="22"/>
        </w:rPr>
        <w:t>NOTICE OF VIOLATION</w:t>
      </w:r>
    </w:p>
    <w:p w:rsidR="00E45604" w:rsidRPr="00CF1244" w:rsidP="00F72912">
      <w:pPr>
        <w:pStyle w:val="Subtitle"/>
        <w:jc w:val="left"/>
        <w:rPr>
          <w:szCs w:val="22"/>
        </w:rPr>
      </w:pPr>
    </w:p>
    <w:p w:rsidR="00E45604" w:rsidRPr="00CF1244" w:rsidP="00FB73E9">
      <w:pPr>
        <w:pStyle w:val="Subtitle"/>
        <w:rPr>
          <w:b w:val="0"/>
          <w:szCs w:val="22"/>
        </w:rPr>
      </w:pPr>
      <w:r w:rsidRPr="00CF1244">
        <w:rPr>
          <w:b w:val="0"/>
          <w:szCs w:val="22"/>
        </w:rPr>
        <w:t xml:space="preserve">Released: </w:t>
      </w:r>
      <w:r w:rsidR="00AD7AE6">
        <w:rPr>
          <w:b w:val="0"/>
          <w:szCs w:val="22"/>
        </w:rPr>
        <w:t>October 25</w:t>
      </w:r>
      <w:r w:rsidR="00FD17F6">
        <w:rPr>
          <w:b w:val="0"/>
          <w:szCs w:val="22"/>
        </w:rPr>
        <w:t>,</w:t>
      </w:r>
      <w:r w:rsidR="00821B9D">
        <w:rPr>
          <w:b w:val="0"/>
          <w:szCs w:val="22"/>
        </w:rPr>
        <w:t xml:space="preserve"> </w:t>
      </w:r>
      <w:r w:rsidR="00FD17F6">
        <w:rPr>
          <w:b w:val="0"/>
          <w:szCs w:val="22"/>
        </w:rPr>
        <w:t>2018</w:t>
      </w:r>
    </w:p>
    <w:p w:rsidR="00E45604" w:rsidRPr="00CF1244">
      <w:pPr>
        <w:tabs>
          <w:tab w:val="left" w:pos="5760"/>
        </w:tabs>
        <w:rPr>
          <w:sz w:val="22"/>
          <w:szCs w:val="22"/>
        </w:rPr>
      </w:pPr>
    </w:p>
    <w:p w:rsidR="00E45604" w:rsidRPr="00CF1244" w:rsidP="00FD17F6">
      <w:pPr>
        <w:jc w:val="both"/>
        <w:rPr>
          <w:sz w:val="22"/>
          <w:szCs w:val="22"/>
        </w:rPr>
      </w:pPr>
      <w:r w:rsidRPr="00CF1244">
        <w:rPr>
          <w:sz w:val="22"/>
          <w:szCs w:val="22"/>
        </w:rPr>
        <w:t xml:space="preserve">By the </w:t>
      </w:r>
      <w:r w:rsidR="002E72B1">
        <w:rPr>
          <w:sz w:val="22"/>
          <w:szCs w:val="22"/>
        </w:rPr>
        <w:t xml:space="preserve">Regional </w:t>
      </w:r>
      <w:r w:rsidRPr="00CF1244">
        <w:rPr>
          <w:sz w:val="22"/>
          <w:szCs w:val="22"/>
        </w:rPr>
        <w:t xml:space="preserve">Director, </w:t>
      </w:r>
      <w:r w:rsidRPr="00CF1244" w:rsidR="006A59C0">
        <w:rPr>
          <w:sz w:val="22"/>
          <w:szCs w:val="22"/>
        </w:rPr>
        <w:t xml:space="preserve">Region </w:t>
      </w:r>
      <w:r w:rsidR="00FD17F6">
        <w:rPr>
          <w:sz w:val="22"/>
          <w:szCs w:val="22"/>
        </w:rPr>
        <w:t>One</w:t>
      </w:r>
      <w:r w:rsidRPr="00CF1244" w:rsidR="006A59C0">
        <w:rPr>
          <w:sz w:val="22"/>
          <w:szCs w:val="22"/>
        </w:rPr>
        <w:t xml:space="preserve">, </w:t>
      </w:r>
      <w:r w:rsidRPr="00CF1244">
        <w:rPr>
          <w:sz w:val="22"/>
          <w:szCs w:val="22"/>
        </w:rPr>
        <w:t>Enforcement Bureau:</w:t>
      </w:r>
    </w:p>
    <w:p w:rsidR="00E45604" w:rsidRPr="00CF1244" w:rsidP="00FD17F6">
      <w:pPr>
        <w:jc w:val="both"/>
        <w:rPr>
          <w:sz w:val="22"/>
          <w:szCs w:val="22"/>
        </w:rPr>
      </w:pPr>
    </w:p>
    <w:p w:rsidR="00E45604" w:rsidRPr="00595C99" w:rsidP="005163F5">
      <w:pPr>
        <w:pStyle w:val="BodyTextIndent"/>
        <w:numPr>
          <w:ilvl w:val="0"/>
          <w:numId w:val="10"/>
        </w:numPr>
        <w:tabs>
          <w:tab w:val="clear" w:pos="720"/>
        </w:tabs>
        <w:ind w:left="0" w:firstLine="720"/>
        <w:rPr>
          <w:rFonts w:ascii="Times New Roman" w:hAnsi="Times New Roman"/>
          <w:sz w:val="22"/>
          <w:szCs w:val="22"/>
        </w:rPr>
      </w:pPr>
      <w:r w:rsidRPr="00595C99">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595C99">
        <w:rPr>
          <w:rFonts w:ascii="Times New Roman" w:hAnsi="Times New Roman"/>
          <w:sz w:val="22"/>
          <w:szCs w:val="22"/>
        </w:rPr>
        <w:t xml:space="preserve"> to </w:t>
      </w:r>
      <w:r w:rsidRPr="007A45DD" w:rsidR="001360EF">
        <w:rPr>
          <w:rFonts w:ascii="Times New Roman" w:hAnsi="Times New Roman"/>
          <w:sz w:val="22"/>
          <w:szCs w:val="22"/>
        </w:rPr>
        <w:t>The Vacation Channel, LLC</w:t>
      </w:r>
      <w:r w:rsidRPr="00595C99" w:rsidR="002E72B1">
        <w:rPr>
          <w:rFonts w:ascii="Times New Roman" w:hAnsi="Times New Roman"/>
          <w:sz w:val="22"/>
          <w:szCs w:val="22"/>
        </w:rPr>
        <w:t>,</w:t>
      </w:r>
      <w:r w:rsidRPr="00595C99" w:rsidR="006A59C0">
        <w:rPr>
          <w:rFonts w:ascii="Times New Roman" w:hAnsi="Times New Roman"/>
          <w:sz w:val="22"/>
          <w:szCs w:val="22"/>
        </w:rPr>
        <w:t xml:space="preserve"> </w:t>
      </w:r>
      <w:r w:rsidR="00595C99">
        <w:rPr>
          <w:rFonts w:ascii="Times New Roman" w:hAnsi="Times New Roman"/>
          <w:sz w:val="22"/>
          <w:szCs w:val="22"/>
        </w:rPr>
        <w:t>l</w:t>
      </w:r>
      <w:r w:rsidRPr="007A45DD" w:rsidR="001360EF">
        <w:rPr>
          <w:rFonts w:ascii="Times New Roman" w:hAnsi="Times New Roman"/>
          <w:sz w:val="22"/>
          <w:szCs w:val="22"/>
        </w:rPr>
        <w:t xml:space="preserve">icensee of </w:t>
      </w:r>
      <w:r w:rsidR="00595C99">
        <w:rPr>
          <w:rFonts w:ascii="Times New Roman" w:hAnsi="Times New Roman"/>
          <w:sz w:val="22"/>
          <w:szCs w:val="22"/>
        </w:rPr>
        <w:t xml:space="preserve">Digital Class A Television </w:t>
      </w:r>
      <w:r w:rsidRPr="007A45DD" w:rsidR="001360EF">
        <w:rPr>
          <w:rFonts w:ascii="Times New Roman" w:hAnsi="Times New Roman"/>
          <w:sz w:val="22"/>
          <w:szCs w:val="22"/>
        </w:rPr>
        <w:t xml:space="preserve">Station </w:t>
      </w:r>
      <w:r w:rsidRPr="007A45DD" w:rsidR="00DD3074">
        <w:rPr>
          <w:rFonts w:ascii="Times New Roman" w:hAnsi="Times New Roman"/>
          <w:sz w:val="22"/>
          <w:szCs w:val="22"/>
        </w:rPr>
        <w:t>KBNS-</w:t>
      </w:r>
      <w:r w:rsidR="00595C99">
        <w:rPr>
          <w:rFonts w:ascii="Times New Roman" w:hAnsi="Times New Roman"/>
          <w:sz w:val="22"/>
          <w:szCs w:val="22"/>
        </w:rPr>
        <w:t>C</w:t>
      </w:r>
      <w:r w:rsidRPr="007A45DD" w:rsidR="001360EF">
        <w:rPr>
          <w:rFonts w:ascii="Times New Roman" w:hAnsi="Times New Roman"/>
          <w:sz w:val="22"/>
          <w:szCs w:val="22"/>
        </w:rPr>
        <w:t>D</w:t>
      </w:r>
      <w:r w:rsidRPr="00595C99" w:rsidR="001360EF">
        <w:rPr>
          <w:rFonts w:ascii="Times New Roman" w:hAnsi="Times New Roman"/>
          <w:sz w:val="22"/>
          <w:szCs w:val="22"/>
        </w:rPr>
        <w:t xml:space="preserve"> </w:t>
      </w:r>
      <w:r w:rsidRPr="00595C99" w:rsidR="00ED68D3">
        <w:rPr>
          <w:rFonts w:ascii="Times New Roman" w:hAnsi="Times New Roman"/>
          <w:sz w:val="22"/>
          <w:szCs w:val="22"/>
        </w:rPr>
        <w:t>in</w:t>
      </w:r>
      <w:r w:rsidRPr="00595C99">
        <w:rPr>
          <w:rFonts w:ascii="Times New Roman" w:hAnsi="Times New Roman"/>
          <w:sz w:val="22"/>
          <w:szCs w:val="22"/>
        </w:rPr>
        <w:t xml:space="preserve"> </w:t>
      </w:r>
      <w:r w:rsidRPr="00595C99" w:rsidR="001360EF">
        <w:rPr>
          <w:rFonts w:ascii="Times New Roman" w:hAnsi="Times New Roman"/>
          <w:sz w:val="22"/>
          <w:szCs w:val="22"/>
        </w:rPr>
        <w:t>Branson</w:t>
      </w:r>
      <w:r w:rsidRPr="00595C99" w:rsidR="006A59C0">
        <w:rPr>
          <w:rFonts w:ascii="Times New Roman" w:hAnsi="Times New Roman"/>
          <w:sz w:val="22"/>
          <w:szCs w:val="22"/>
        </w:rPr>
        <w:t xml:space="preserve">, </w:t>
      </w:r>
      <w:r w:rsidRPr="00595C99" w:rsidR="006A3503">
        <w:rPr>
          <w:rFonts w:ascii="Times New Roman" w:hAnsi="Times New Roman"/>
          <w:sz w:val="22"/>
          <w:szCs w:val="22"/>
        </w:rPr>
        <w:t>Missouri</w:t>
      </w:r>
      <w:r w:rsidRPr="00595C99">
        <w:rPr>
          <w:rFonts w:ascii="Times New Roman" w:hAnsi="Times New Roman"/>
          <w:sz w:val="22"/>
          <w:szCs w:val="22"/>
        </w:rPr>
        <w:t>.  Pursuant to Section 1.89(a) of the Rules, issuance of this Notice does not preclude the Enforcement Bureau from further action if warranted, including issuing a Notice of Apparent Liability for Forfeiture for the violation</w:t>
      </w:r>
      <w:r w:rsidR="00595C99">
        <w:rPr>
          <w:rFonts w:ascii="Times New Roman" w:hAnsi="Times New Roman"/>
          <w:sz w:val="22"/>
          <w:szCs w:val="22"/>
        </w:rPr>
        <w:t>s</w:t>
      </w:r>
      <w:r w:rsidRPr="00595C99">
        <w:rPr>
          <w:rFonts w:ascii="Times New Roman" w:hAnsi="Times New Roman"/>
          <w:sz w:val="22"/>
          <w:szCs w:val="22"/>
        </w:rPr>
        <w:t xml:space="preserve"> noted herein.</w:t>
      </w:r>
      <w:r>
        <w:rPr>
          <w:rStyle w:val="FootnoteReference"/>
          <w:sz w:val="22"/>
          <w:szCs w:val="22"/>
        </w:rPr>
        <w:footnoteReference w:id="3"/>
      </w:r>
    </w:p>
    <w:p w:rsidR="00E45604" w:rsidRPr="001E3C08" w:rsidP="005163F5">
      <w:pPr>
        <w:rPr>
          <w:sz w:val="22"/>
          <w:szCs w:val="22"/>
        </w:rPr>
      </w:pPr>
    </w:p>
    <w:p w:rsidR="00212367" w:rsidRPr="007A45DD" w:rsidP="00212367">
      <w:pPr>
        <w:pStyle w:val="BodyTextIndent"/>
        <w:numPr>
          <w:ilvl w:val="0"/>
          <w:numId w:val="10"/>
        </w:numPr>
        <w:tabs>
          <w:tab w:val="clear" w:pos="720"/>
        </w:tabs>
        <w:ind w:left="0" w:firstLine="720"/>
        <w:rPr>
          <w:rFonts w:ascii="Times New Roman" w:hAnsi="Times New Roman"/>
          <w:sz w:val="22"/>
          <w:szCs w:val="22"/>
        </w:rPr>
      </w:pPr>
      <w:r w:rsidRPr="001E3C08">
        <w:rPr>
          <w:rFonts w:ascii="Times New Roman" w:hAnsi="Times New Roman"/>
          <w:sz w:val="22"/>
          <w:szCs w:val="22"/>
        </w:rPr>
        <w:t xml:space="preserve">On </w:t>
      </w:r>
      <w:r w:rsidRPr="001E3C08" w:rsidR="001360EF">
        <w:rPr>
          <w:rFonts w:ascii="Times New Roman" w:hAnsi="Times New Roman"/>
          <w:sz w:val="22"/>
          <w:szCs w:val="22"/>
        </w:rPr>
        <w:t xml:space="preserve">August </w:t>
      </w:r>
      <w:r w:rsidRPr="001E3C08" w:rsidR="006A3503">
        <w:rPr>
          <w:rFonts w:ascii="Times New Roman" w:hAnsi="Times New Roman"/>
          <w:sz w:val="22"/>
          <w:szCs w:val="22"/>
        </w:rPr>
        <w:t>21, 2018</w:t>
      </w:r>
      <w:r w:rsidRPr="001E3C08">
        <w:rPr>
          <w:rFonts w:ascii="Times New Roman" w:hAnsi="Times New Roman"/>
          <w:sz w:val="22"/>
          <w:szCs w:val="22"/>
        </w:rPr>
        <w:t xml:space="preserve">, </w:t>
      </w:r>
      <w:r w:rsidRPr="001E3C08" w:rsidR="006A3503">
        <w:rPr>
          <w:rFonts w:ascii="Times New Roman" w:hAnsi="Times New Roman"/>
          <w:sz w:val="22"/>
          <w:szCs w:val="22"/>
        </w:rPr>
        <w:t>an A</w:t>
      </w:r>
      <w:r w:rsidRPr="001E3C08">
        <w:rPr>
          <w:rFonts w:ascii="Times New Roman" w:hAnsi="Times New Roman"/>
          <w:sz w:val="22"/>
          <w:szCs w:val="22"/>
        </w:rPr>
        <w:t xml:space="preserve">gent of the Enforcement Bureau’s </w:t>
      </w:r>
      <w:r w:rsidRPr="001E3C08" w:rsidR="006A3503">
        <w:rPr>
          <w:rFonts w:ascii="Times New Roman" w:hAnsi="Times New Roman"/>
          <w:sz w:val="22"/>
          <w:szCs w:val="22"/>
        </w:rPr>
        <w:t>Chicago</w:t>
      </w:r>
      <w:r w:rsidRPr="001E3C08">
        <w:rPr>
          <w:rFonts w:ascii="Times New Roman" w:hAnsi="Times New Roman"/>
          <w:sz w:val="22"/>
          <w:szCs w:val="22"/>
        </w:rPr>
        <w:t xml:space="preserve"> Office inspected </w:t>
      </w:r>
      <w:r w:rsidRPr="001E3C08" w:rsidR="001360EF">
        <w:rPr>
          <w:rFonts w:ascii="Times New Roman" w:hAnsi="Times New Roman"/>
          <w:sz w:val="22"/>
          <w:szCs w:val="22"/>
        </w:rPr>
        <w:t>Station KBNS</w:t>
      </w:r>
      <w:r w:rsidRPr="001E3C08" w:rsidR="00DD3074">
        <w:rPr>
          <w:rFonts w:ascii="Times New Roman" w:hAnsi="Times New Roman"/>
          <w:sz w:val="22"/>
          <w:szCs w:val="22"/>
        </w:rPr>
        <w:t>-</w:t>
      </w:r>
      <w:r w:rsidR="001E3C08">
        <w:rPr>
          <w:rFonts w:ascii="Times New Roman" w:hAnsi="Times New Roman"/>
          <w:sz w:val="22"/>
          <w:szCs w:val="22"/>
        </w:rPr>
        <w:t>C</w:t>
      </w:r>
      <w:r w:rsidRPr="001E3C08" w:rsidR="000E43EA">
        <w:rPr>
          <w:rFonts w:ascii="Times New Roman" w:hAnsi="Times New Roman"/>
          <w:sz w:val="22"/>
          <w:szCs w:val="22"/>
        </w:rPr>
        <w:t>D</w:t>
      </w:r>
      <w:r w:rsidRPr="001E3C08" w:rsidR="001360EF">
        <w:rPr>
          <w:rFonts w:ascii="Times New Roman" w:hAnsi="Times New Roman"/>
          <w:sz w:val="22"/>
          <w:szCs w:val="22"/>
        </w:rPr>
        <w:t xml:space="preserve"> </w:t>
      </w:r>
      <w:r w:rsidRPr="001E3C08" w:rsidR="00ED68D3">
        <w:rPr>
          <w:rFonts w:ascii="Times New Roman" w:hAnsi="Times New Roman"/>
          <w:sz w:val="22"/>
          <w:szCs w:val="22"/>
        </w:rPr>
        <w:t>in</w:t>
      </w:r>
      <w:r w:rsidRPr="001E3C08" w:rsidR="00F67637">
        <w:rPr>
          <w:rFonts w:ascii="Times New Roman" w:hAnsi="Times New Roman"/>
          <w:sz w:val="22"/>
          <w:szCs w:val="22"/>
        </w:rPr>
        <w:t xml:space="preserve"> </w:t>
      </w:r>
      <w:r w:rsidRPr="001E3C08" w:rsidR="001360EF">
        <w:rPr>
          <w:rFonts w:ascii="Times New Roman" w:hAnsi="Times New Roman"/>
          <w:sz w:val="22"/>
          <w:szCs w:val="22"/>
        </w:rPr>
        <w:t>Branson</w:t>
      </w:r>
      <w:r w:rsidRPr="001E3C08" w:rsidR="006A59C0">
        <w:rPr>
          <w:rFonts w:ascii="Times New Roman" w:hAnsi="Times New Roman"/>
          <w:sz w:val="22"/>
          <w:szCs w:val="22"/>
        </w:rPr>
        <w:t xml:space="preserve">, </w:t>
      </w:r>
      <w:r w:rsidRPr="001E3C08" w:rsidR="006A3503">
        <w:rPr>
          <w:rFonts w:ascii="Times New Roman" w:hAnsi="Times New Roman"/>
          <w:sz w:val="22"/>
          <w:szCs w:val="22"/>
        </w:rPr>
        <w:t>Missouri</w:t>
      </w:r>
      <w:r w:rsidRPr="001E3C08">
        <w:rPr>
          <w:rFonts w:ascii="Times New Roman" w:hAnsi="Times New Roman"/>
          <w:sz w:val="22"/>
          <w:szCs w:val="22"/>
        </w:rPr>
        <w:t xml:space="preserve"> and observed </w:t>
      </w:r>
      <w:r w:rsidRPr="001E3C08">
        <w:rPr>
          <w:rFonts w:ascii="Times New Roman" w:hAnsi="Times New Roman"/>
          <w:sz w:val="22"/>
          <w:szCs w:val="22"/>
        </w:rPr>
        <w:t>the following violation</w:t>
      </w:r>
      <w:r w:rsidR="001E3C08">
        <w:rPr>
          <w:rFonts w:ascii="Times New Roman" w:hAnsi="Times New Roman"/>
          <w:sz w:val="22"/>
          <w:szCs w:val="22"/>
        </w:rPr>
        <w:t>s</w:t>
      </w:r>
      <w:r w:rsidRPr="001E3C08">
        <w:rPr>
          <w:rFonts w:ascii="Times New Roman" w:hAnsi="Times New Roman"/>
          <w:sz w:val="22"/>
          <w:szCs w:val="22"/>
        </w:rPr>
        <w:t>:</w:t>
      </w:r>
    </w:p>
    <w:p w:rsidR="00E45604" w:rsidRPr="007A45DD" w:rsidP="00212367">
      <w:pPr>
        <w:pStyle w:val="BodyTextIndent"/>
        <w:ind w:firstLine="0"/>
        <w:rPr>
          <w:rFonts w:ascii="Times New Roman" w:hAnsi="Times New Roman"/>
          <w:sz w:val="22"/>
          <w:szCs w:val="22"/>
        </w:rPr>
      </w:pPr>
      <w:r w:rsidRPr="007A45DD">
        <w:rPr>
          <w:rFonts w:ascii="Times New Roman" w:hAnsi="Times New Roman"/>
          <w:sz w:val="22"/>
          <w:szCs w:val="22"/>
        </w:rPr>
        <w:t xml:space="preserve"> </w:t>
      </w:r>
    </w:p>
    <w:p w:rsidR="00210A15" w:rsidP="00210A15">
      <w:pPr>
        <w:pStyle w:val="ListParagraph"/>
        <w:numPr>
          <w:ilvl w:val="1"/>
          <w:numId w:val="10"/>
        </w:numPr>
        <w:tabs>
          <w:tab w:val="clear" w:pos="2520"/>
          <w:tab w:val="num" w:pos="2610"/>
        </w:tabs>
        <w:ind w:left="1980" w:hanging="540"/>
        <w:rPr>
          <w:sz w:val="22"/>
          <w:szCs w:val="22"/>
        </w:rPr>
      </w:pPr>
      <w:r w:rsidRPr="001E3C08">
        <w:rPr>
          <w:sz w:val="22"/>
          <w:szCs w:val="22"/>
        </w:rPr>
        <w:t>47 CFR § 73.1560 (c)(1)</w:t>
      </w:r>
      <w:r w:rsidRPr="001E3C08" w:rsidR="001E3C08">
        <w:rPr>
          <w:sz w:val="22"/>
          <w:szCs w:val="22"/>
        </w:rPr>
        <w:t>: “</w:t>
      </w:r>
      <w:r w:rsidRPr="001E3C08">
        <w:rPr>
          <w:sz w:val="22"/>
          <w:szCs w:val="22"/>
        </w:rPr>
        <w:t>Except as provided in paragraph (d) of this section, the visual output power of a TV or Class A TV transmitter, as determined by the procedures specified in Sec. 73.664, must be maintained as near as is practicable to the autho</w:t>
      </w:r>
      <w:r w:rsidRPr="00210A15">
        <w:rPr>
          <w:sz w:val="22"/>
          <w:szCs w:val="22"/>
        </w:rPr>
        <w:t>rized transmitter output power and may not be less than 80% nor more than 110% of the authorized power.</w:t>
      </w:r>
      <w:r w:rsidRPr="00210A15" w:rsidR="001E3C08">
        <w:rPr>
          <w:sz w:val="22"/>
          <w:szCs w:val="22"/>
        </w:rPr>
        <w:t>”</w:t>
      </w:r>
      <w:r w:rsidRPr="00210A15">
        <w:rPr>
          <w:sz w:val="22"/>
          <w:szCs w:val="22"/>
        </w:rPr>
        <w:t xml:space="preserve"> According to KBNS-</w:t>
      </w:r>
      <w:r w:rsidRPr="00210A15" w:rsidR="001E3C08">
        <w:rPr>
          <w:sz w:val="22"/>
          <w:szCs w:val="22"/>
        </w:rPr>
        <w:t>C</w:t>
      </w:r>
      <w:r w:rsidRPr="00210A15">
        <w:rPr>
          <w:sz w:val="22"/>
          <w:szCs w:val="22"/>
        </w:rPr>
        <w:t xml:space="preserve">D transmitter logs made available during inspection, the transmitter output power was less than 80% of that authorized on </w:t>
      </w:r>
      <w:r w:rsidRPr="00210A15" w:rsidR="001E3C08">
        <w:rPr>
          <w:sz w:val="22"/>
          <w:szCs w:val="22"/>
        </w:rPr>
        <w:t>August 3, 2018, August 10, 2018 and August 17, 2018.</w:t>
      </w:r>
      <w:r w:rsidRPr="001E3C08" w:rsidR="001E3C08">
        <w:rPr>
          <w:sz w:val="22"/>
          <w:szCs w:val="22"/>
        </w:rPr>
        <w:t xml:space="preserve"> </w:t>
      </w:r>
    </w:p>
    <w:p w:rsidR="00210A15" w:rsidP="00210A15">
      <w:pPr>
        <w:pStyle w:val="ListParagraph"/>
        <w:ind w:left="1980"/>
        <w:rPr>
          <w:sz w:val="22"/>
          <w:szCs w:val="22"/>
        </w:rPr>
      </w:pPr>
    </w:p>
    <w:p w:rsidR="00210A15" w:rsidP="00962A61">
      <w:pPr>
        <w:pStyle w:val="ListParagraph"/>
        <w:numPr>
          <w:ilvl w:val="1"/>
          <w:numId w:val="10"/>
        </w:numPr>
        <w:tabs>
          <w:tab w:val="clear" w:pos="2520"/>
          <w:tab w:val="num" w:pos="2610"/>
        </w:tabs>
        <w:ind w:left="1980" w:hanging="540"/>
        <w:rPr>
          <w:sz w:val="22"/>
          <w:szCs w:val="22"/>
        </w:rPr>
      </w:pPr>
      <w:r w:rsidRPr="00210A15">
        <w:rPr>
          <w:sz w:val="22"/>
          <w:szCs w:val="22"/>
        </w:rPr>
        <w:t xml:space="preserve">47 CFR § 73.1560 (d) </w:t>
      </w:r>
      <w:r w:rsidRPr="00210A15" w:rsidR="001E3C08">
        <w:rPr>
          <w:sz w:val="22"/>
          <w:szCs w:val="22"/>
        </w:rPr>
        <w:t>“</w:t>
      </w:r>
      <w:r w:rsidRPr="007A45DD">
        <w:rPr>
          <w:i/>
          <w:sz w:val="22"/>
          <w:szCs w:val="22"/>
        </w:rPr>
        <w:t>Reduced power operation.</w:t>
      </w:r>
      <w:r w:rsidRPr="00210A15">
        <w:rPr>
          <w:sz w:val="22"/>
          <w:szCs w:val="22"/>
        </w:rPr>
        <w:t xml:space="preserve"> In the event it becomes technically impossible to operate at authorized power, a broadcast station may operate at reduced power for a period of not more than 30 days without specific authority from the FCC… If causes beyond the control of the licensee prevent restoration of the authorized power within 30 days, a request for Special Temporary Authority (see §73.1635) must be made to the FCC in Washington, DC </w:t>
      </w:r>
      <w:r w:rsidRPr="00210A15">
        <w:rPr>
          <w:sz w:val="22"/>
          <w:szCs w:val="22"/>
        </w:rPr>
        <w:t>for additional time as may be necessary.</w:t>
      </w:r>
      <w:r w:rsidRPr="00210A15" w:rsidR="001E3C08">
        <w:rPr>
          <w:sz w:val="22"/>
          <w:szCs w:val="22"/>
        </w:rPr>
        <w:t>”</w:t>
      </w:r>
      <w:r w:rsidRPr="00210A15">
        <w:rPr>
          <w:sz w:val="22"/>
          <w:szCs w:val="22"/>
        </w:rPr>
        <w:t xml:space="preserve"> According to KBNS-CD transmitter logs made available during inspection, the transmitter operated at reduced power between February 23, 2018 and June 29, 2018</w:t>
      </w:r>
      <w:r w:rsidRPr="00210A15" w:rsidR="001E3C08">
        <w:rPr>
          <w:sz w:val="22"/>
          <w:szCs w:val="22"/>
        </w:rPr>
        <w:t xml:space="preserve">.  The Vacation Channel </w:t>
      </w:r>
      <w:r w:rsidRPr="00210A15">
        <w:rPr>
          <w:sz w:val="22"/>
          <w:szCs w:val="22"/>
        </w:rPr>
        <w:t xml:space="preserve">LLC failed to submit a </w:t>
      </w:r>
      <w:r w:rsidRPr="00210A15">
        <w:rPr>
          <w:sz w:val="22"/>
          <w:szCs w:val="22"/>
        </w:rPr>
        <w:t xml:space="preserve">request </w:t>
      </w:r>
      <w:r w:rsidRPr="00210A15">
        <w:rPr>
          <w:sz w:val="22"/>
          <w:szCs w:val="22"/>
        </w:rPr>
        <w:t xml:space="preserve">for </w:t>
      </w:r>
      <w:r w:rsidRPr="00210A15">
        <w:rPr>
          <w:sz w:val="22"/>
          <w:szCs w:val="22"/>
        </w:rPr>
        <w:t xml:space="preserve">special temporary authorization (STA) </w:t>
      </w:r>
      <w:r w:rsidRPr="00210A15">
        <w:rPr>
          <w:sz w:val="22"/>
          <w:szCs w:val="22"/>
        </w:rPr>
        <w:t xml:space="preserve">with the </w:t>
      </w:r>
      <w:r w:rsidRPr="00210A15">
        <w:rPr>
          <w:sz w:val="22"/>
          <w:szCs w:val="22"/>
        </w:rPr>
        <w:t>Commission to operate at reduced power</w:t>
      </w:r>
      <w:r w:rsidRPr="00210A15" w:rsidR="001E3C08">
        <w:rPr>
          <w:sz w:val="22"/>
          <w:szCs w:val="22"/>
        </w:rPr>
        <w:t xml:space="preserve"> </w:t>
      </w:r>
      <w:r w:rsidRPr="00210A15">
        <w:rPr>
          <w:sz w:val="22"/>
          <w:szCs w:val="22"/>
        </w:rPr>
        <w:t xml:space="preserve">for the period between March 23, 2018 and June 29, 2018.  </w:t>
      </w:r>
    </w:p>
    <w:p w:rsidR="00210A15" w:rsidRPr="00210A15" w:rsidP="00210A15">
      <w:pPr>
        <w:rPr>
          <w:sz w:val="22"/>
          <w:szCs w:val="22"/>
        </w:rPr>
      </w:pPr>
    </w:p>
    <w:p w:rsidR="00D108D1" w:rsidP="00D108D1">
      <w:pPr>
        <w:pStyle w:val="ListParagraph"/>
        <w:numPr>
          <w:ilvl w:val="1"/>
          <w:numId w:val="10"/>
        </w:numPr>
        <w:tabs>
          <w:tab w:val="clear" w:pos="2520"/>
          <w:tab w:val="num" w:pos="2610"/>
        </w:tabs>
        <w:ind w:left="1980" w:hanging="540"/>
        <w:rPr>
          <w:sz w:val="22"/>
          <w:szCs w:val="22"/>
        </w:rPr>
      </w:pPr>
      <w:r w:rsidRPr="001A06BD">
        <w:rPr>
          <w:sz w:val="22"/>
          <w:szCs w:val="22"/>
        </w:rPr>
        <w:t xml:space="preserve">47 CFR § </w:t>
      </w:r>
      <w:r w:rsidRPr="001A06BD" w:rsidR="00210A15">
        <w:rPr>
          <w:sz w:val="22"/>
          <w:szCs w:val="22"/>
        </w:rPr>
        <w:t>11.35(a):  “(a) EAS Participants are responsible for ensuring that EAS Encoders, EAS Decoders, Attention Signal generating and receiving equipment, and Intermediate Devices used as part of the EAS to decode and/or encode messages formatted in the EAS Protocol and/or the Common Alerting Protocol are installed so that the monitoring and transmitting functions are available during the times the stations and systems are in operation. Additionally, EAS Participants must determine the cause of any failure to receive the required tests or activations specified in §11.61(a)(1) and (2). Appropriate entries indicating reasons why any tests were not received must be made in the broadcast station log as specified in §§73.1820 and 73.1840 of this chapter for all broadcast streams</w:t>
      </w:r>
      <w:r w:rsidRPr="001A06BD" w:rsidR="001A06BD">
        <w:rPr>
          <w:sz w:val="22"/>
          <w:szCs w:val="22"/>
        </w:rPr>
        <w:t>.”</w:t>
      </w:r>
      <w:r w:rsidRPr="001A06BD">
        <w:rPr>
          <w:sz w:val="22"/>
          <w:szCs w:val="22"/>
        </w:rPr>
        <w:t xml:space="preserve"> </w:t>
      </w:r>
      <w:r w:rsidR="001A06BD">
        <w:rPr>
          <w:sz w:val="22"/>
          <w:szCs w:val="22"/>
        </w:rPr>
        <w:t>The Vacation Channel</w:t>
      </w:r>
      <w:r w:rsidR="00D84010">
        <w:rPr>
          <w:sz w:val="22"/>
          <w:szCs w:val="22"/>
        </w:rPr>
        <w:t>,</w:t>
      </w:r>
      <w:r w:rsidR="001A06BD">
        <w:rPr>
          <w:sz w:val="22"/>
          <w:szCs w:val="22"/>
        </w:rPr>
        <w:t xml:space="preserve"> LLC failed to make any entries in the logs for Station KBN</w:t>
      </w:r>
      <w:r w:rsidR="00A1706B">
        <w:rPr>
          <w:sz w:val="22"/>
          <w:szCs w:val="22"/>
        </w:rPr>
        <w:t>S</w:t>
      </w:r>
      <w:r w:rsidR="001A06BD">
        <w:rPr>
          <w:sz w:val="22"/>
          <w:szCs w:val="22"/>
        </w:rPr>
        <w:t xml:space="preserve">-CD to indicate the reasons why it failed to receive the EAS activations from the </w:t>
      </w:r>
      <w:r w:rsidRPr="001A06BD">
        <w:rPr>
          <w:sz w:val="22"/>
          <w:szCs w:val="22"/>
        </w:rPr>
        <w:t>assigned LP-</w:t>
      </w:r>
      <w:r w:rsidR="00643957">
        <w:rPr>
          <w:sz w:val="22"/>
          <w:szCs w:val="22"/>
        </w:rPr>
        <w:t xml:space="preserve">1 </w:t>
      </w:r>
      <w:r w:rsidRPr="001A06BD">
        <w:rPr>
          <w:sz w:val="22"/>
          <w:szCs w:val="22"/>
        </w:rPr>
        <w:t>Station KTTS</w:t>
      </w:r>
      <w:r w:rsidR="00643957">
        <w:rPr>
          <w:sz w:val="22"/>
          <w:szCs w:val="22"/>
        </w:rPr>
        <w:t xml:space="preserve"> and LP-2 Station KTXR</w:t>
      </w:r>
      <w:r w:rsidRPr="001A06BD">
        <w:rPr>
          <w:sz w:val="22"/>
          <w:szCs w:val="22"/>
        </w:rPr>
        <w:t xml:space="preserve"> </w:t>
      </w:r>
      <w:r w:rsidR="001A06BD">
        <w:rPr>
          <w:sz w:val="22"/>
          <w:szCs w:val="22"/>
        </w:rPr>
        <w:t xml:space="preserve">during the months of </w:t>
      </w:r>
      <w:r w:rsidRPr="001A06BD">
        <w:rPr>
          <w:sz w:val="22"/>
          <w:szCs w:val="22"/>
        </w:rPr>
        <w:t>May, June, July, and August 2018.</w:t>
      </w:r>
      <w:r>
        <w:rPr>
          <w:rStyle w:val="FootnoteReference"/>
          <w:szCs w:val="22"/>
        </w:rPr>
        <w:footnoteReference w:id="4"/>
      </w:r>
    </w:p>
    <w:p w:rsidR="00D108D1" w:rsidRPr="00D108D1" w:rsidP="00D108D1">
      <w:pPr>
        <w:pStyle w:val="ListParagraph"/>
        <w:rPr>
          <w:sz w:val="22"/>
          <w:szCs w:val="22"/>
        </w:rPr>
      </w:pPr>
    </w:p>
    <w:p w:rsidR="000E43EA" w:rsidRPr="00D108D1" w:rsidP="00D108D1">
      <w:pPr>
        <w:pStyle w:val="ListParagraph"/>
        <w:numPr>
          <w:ilvl w:val="1"/>
          <w:numId w:val="10"/>
        </w:numPr>
        <w:tabs>
          <w:tab w:val="clear" w:pos="2520"/>
          <w:tab w:val="num" w:pos="2610"/>
        </w:tabs>
        <w:ind w:left="1980" w:hanging="540"/>
        <w:rPr>
          <w:sz w:val="22"/>
          <w:szCs w:val="22"/>
        </w:rPr>
      </w:pPr>
      <w:r w:rsidRPr="00D108D1">
        <w:rPr>
          <w:sz w:val="22"/>
          <w:szCs w:val="22"/>
        </w:rPr>
        <w:t>47 CFR § 11.52(d)(</w:t>
      </w:r>
      <w:r w:rsidR="00D84010">
        <w:rPr>
          <w:sz w:val="22"/>
          <w:szCs w:val="22"/>
        </w:rPr>
        <w:t>4</w:t>
      </w:r>
      <w:r w:rsidRPr="00D108D1">
        <w:rPr>
          <w:sz w:val="22"/>
          <w:szCs w:val="22"/>
        </w:rPr>
        <w:t xml:space="preserve">): “If the required EAS message sources cannot be received, alternate arrangements or a waiver may be obtained by written request to the Chief, Public Safety and Homeland Security Bureau. In an emergency, a waiver may be issued over the telephone with a follow up letter to confirm temporary or permanent reassignment.”  </w:t>
      </w:r>
      <w:r w:rsidR="005B1B66">
        <w:rPr>
          <w:sz w:val="22"/>
          <w:szCs w:val="22"/>
        </w:rPr>
        <w:t>At the time of the inspection T</w:t>
      </w:r>
      <w:r w:rsidRPr="00D108D1">
        <w:rPr>
          <w:sz w:val="22"/>
          <w:szCs w:val="22"/>
        </w:rPr>
        <w:t xml:space="preserve">he Vacation Channel, LLC </w:t>
      </w:r>
      <w:r w:rsidR="005B1B66">
        <w:rPr>
          <w:sz w:val="22"/>
          <w:szCs w:val="22"/>
        </w:rPr>
        <w:t xml:space="preserve">was </w:t>
      </w:r>
      <w:r w:rsidR="007A45DD">
        <w:rPr>
          <w:sz w:val="22"/>
          <w:szCs w:val="22"/>
        </w:rPr>
        <w:t xml:space="preserve">only </w:t>
      </w:r>
      <w:r w:rsidR="005B1B66">
        <w:rPr>
          <w:sz w:val="22"/>
          <w:szCs w:val="22"/>
        </w:rPr>
        <w:t xml:space="preserve">monitoring </w:t>
      </w:r>
      <w:r w:rsidR="007A45DD">
        <w:rPr>
          <w:sz w:val="22"/>
          <w:szCs w:val="22"/>
        </w:rPr>
        <w:t>AM Station KSGF on 1260 k</w:t>
      </w:r>
      <w:r w:rsidR="00643957">
        <w:rPr>
          <w:sz w:val="22"/>
          <w:szCs w:val="22"/>
        </w:rPr>
        <w:t>Hz</w:t>
      </w:r>
      <w:r w:rsidR="007A45DD">
        <w:rPr>
          <w:sz w:val="22"/>
          <w:szCs w:val="22"/>
        </w:rPr>
        <w:t xml:space="preserve"> for EAS activations instead of the required LP-1 Station KTTS and LP-2 Station KTXR</w:t>
      </w:r>
      <w:r w:rsidR="009140F0">
        <w:rPr>
          <w:sz w:val="22"/>
          <w:szCs w:val="22"/>
        </w:rPr>
        <w:t xml:space="preserve">. </w:t>
      </w:r>
      <w:r w:rsidR="005B1B66">
        <w:rPr>
          <w:sz w:val="22"/>
          <w:szCs w:val="22"/>
        </w:rPr>
        <w:t xml:space="preserve">The Vacation Channel, LLC </w:t>
      </w:r>
      <w:r>
        <w:rPr>
          <w:sz w:val="22"/>
          <w:szCs w:val="22"/>
        </w:rPr>
        <w:t xml:space="preserve">did not have a waiver to monitor </w:t>
      </w:r>
      <w:r w:rsidR="009140F0">
        <w:rPr>
          <w:sz w:val="22"/>
          <w:szCs w:val="22"/>
        </w:rPr>
        <w:t xml:space="preserve">this </w:t>
      </w:r>
      <w:r w:rsidR="007A45DD">
        <w:rPr>
          <w:sz w:val="22"/>
          <w:szCs w:val="22"/>
        </w:rPr>
        <w:t>alternate EAS s</w:t>
      </w:r>
      <w:r w:rsidR="009140F0">
        <w:rPr>
          <w:sz w:val="22"/>
          <w:szCs w:val="22"/>
        </w:rPr>
        <w:t xml:space="preserve">ource. </w:t>
      </w:r>
    </w:p>
    <w:p w:rsidR="000E43EA" w:rsidRPr="00210A15" w:rsidP="00212367">
      <w:pPr>
        <w:ind w:left="1440" w:right="720"/>
        <w:rPr>
          <w:sz w:val="22"/>
          <w:szCs w:val="22"/>
        </w:rPr>
      </w:pPr>
    </w:p>
    <w:p w:rsidR="004A71B5" w:rsidRPr="005D2A72" w:rsidP="004A71B5">
      <w:pPr>
        <w:numPr>
          <w:ilvl w:val="0"/>
          <w:numId w:val="10"/>
        </w:numPr>
        <w:tabs>
          <w:tab w:val="clear" w:pos="720"/>
        </w:tabs>
        <w:ind w:left="0" w:firstLine="720"/>
        <w:rPr>
          <w:sz w:val="22"/>
          <w:szCs w:val="22"/>
        </w:rPr>
      </w:pPr>
      <w:r w:rsidRPr="00E45438">
        <w:rPr>
          <w:sz w:val="22"/>
          <w:szCs w:val="22"/>
        </w:rPr>
        <w:t xml:space="preserve">As the nation’s emergency warning system, the Emergency Alert System is critical to public safety, and we recognize the vital role that cable operators play in ensuring its success.  The Commission takes seriously any violations of the Rules implementing the EAS and expects full compliance from its regulatees.  We also must investigate violations of other rules that apply to </w:t>
      </w:r>
      <w:r>
        <w:rPr>
          <w:sz w:val="22"/>
          <w:szCs w:val="22"/>
        </w:rPr>
        <w:t>broadcast Station</w:t>
      </w:r>
      <w:r w:rsidRPr="00E45438">
        <w:rPr>
          <w:sz w:val="22"/>
          <w:szCs w:val="22"/>
        </w:rPr>
        <w:t xml:space="preserve"> operators.</w:t>
      </w:r>
      <w:r>
        <w:rPr>
          <w:sz w:val="22"/>
          <w:szCs w:val="22"/>
        </w:rPr>
        <w:t xml:space="preserve">  </w:t>
      </w:r>
      <w:r w:rsidRPr="00BB5FD8">
        <w:rPr>
          <w:sz w:val="22"/>
          <w:szCs w:val="22"/>
        </w:rPr>
        <w:t xml:space="preserve">Pursuant to Section </w:t>
      </w:r>
      <w:r w:rsidRPr="004E3D31">
        <w:rPr>
          <w:color w:val="000000"/>
          <w:sz w:val="22"/>
          <w:szCs w:val="22"/>
        </w:rPr>
        <w:t xml:space="preserve">308(b) </w:t>
      </w:r>
      <w:r w:rsidRPr="00BB5FD8">
        <w:rPr>
          <w:sz w:val="22"/>
          <w:szCs w:val="22"/>
        </w:rPr>
        <w:t>of the Communications Act of 1934, as amended,</w:t>
      </w:r>
      <w:r>
        <w:rPr>
          <w:rStyle w:val="FootnoteReference"/>
          <w:rFonts w:eastAsiaTheme="majorEastAsia"/>
          <w:sz w:val="22"/>
          <w:szCs w:val="22"/>
        </w:rPr>
        <w:footnoteReference w:id="5"/>
      </w:r>
      <w:r w:rsidRPr="00BB5FD8">
        <w:rPr>
          <w:sz w:val="22"/>
          <w:szCs w:val="22"/>
        </w:rPr>
        <w:t xml:space="preserve"> </w:t>
      </w:r>
      <w:r w:rsidRPr="005D2A72">
        <w:rPr>
          <w:sz w:val="22"/>
          <w:szCs w:val="22"/>
        </w:rPr>
        <w:t>Section 403 of the Communications Act of 1934, as amended,</w:t>
      </w:r>
      <w:r>
        <w:rPr>
          <w:rStyle w:val="FootnoteReference"/>
          <w:rFonts w:eastAsiaTheme="majorEastAsia"/>
          <w:sz w:val="22"/>
          <w:szCs w:val="22"/>
        </w:rPr>
        <w:footnoteReference w:id="6"/>
      </w:r>
      <w:r w:rsidRPr="005D2A72">
        <w:rPr>
          <w:sz w:val="22"/>
          <w:szCs w:val="22"/>
        </w:rPr>
        <w:t xml:space="preserve"> and Section 1.89 of the Rules, we seek additional information concerning the violations and any remedial actions taken.  Therefore, </w:t>
      </w:r>
      <w:r>
        <w:rPr>
          <w:sz w:val="22"/>
          <w:szCs w:val="22"/>
        </w:rPr>
        <w:t xml:space="preserve">The Vacation Channel, LLC </w:t>
      </w:r>
      <w:r w:rsidRPr="005D2A72">
        <w:rPr>
          <w:sz w:val="22"/>
          <w:szCs w:val="22"/>
        </w:rPr>
        <w:t>must submit a written statement concerning th</w:t>
      </w:r>
      <w:r>
        <w:rPr>
          <w:sz w:val="22"/>
          <w:szCs w:val="22"/>
        </w:rPr>
        <w:t xml:space="preserve">ese </w:t>
      </w:r>
      <w:r w:rsidRPr="005D2A72">
        <w:rPr>
          <w:sz w:val="22"/>
          <w:szCs w:val="22"/>
        </w:rPr>
        <w:t>matter</w:t>
      </w:r>
      <w:r>
        <w:rPr>
          <w:sz w:val="22"/>
          <w:szCs w:val="22"/>
        </w:rPr>
        <w:t>s</w:t>
      </w:r>
      <w:r w:rsidRPr="005D2A72">
        <w:rPr>
          <w:sz w:val="22"/>
          <w:szCs w:val="22"/>
        </w:rPr>
        <w:t xml:space="preserve"> within twenty (20) days of release of this </w:t>
      </w:r>
      <w:r w:rsidRPr="005D2A72">
        <w:rPr>
          <w:sz w:val="22"/>
          <w:szCs w:val="22"/>
        </w:rPr>
        <w:t>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rFonts w:eastAsiaTheme="majorEastAsia"/>
          <w:sz w:val="22"/>
          <w:szCs w:val="22"/>
        </w:rPr>
        <w:footnoteReference w:id="7"/>
      </w:r>
      <w:r w:rsidRPr="005D2A72">
        <w:rPr>
          <w:sz w:val="22"/>
          <w:szCs w:val="22"/>
        </w:rPr>
        <w:t xml:space="preserve">  </w:t>
      </w:r>
    </w:p>
    <w:p w:rsidR="001A06BD" w:rsidRPr="00FD36F7" w:rsidP="001A06BD">
      <w:pPr>
        <w:pStyle w:val="BodyTextIndent3"/>
        <w:ind w:firstLine="0"/>
        <w:jc w:val="left"/>
        <w:rPr>
          <w:szCs w:val="22"/>
        </w:rPr>
      </w:pPr>
    </w:p>
    <w:p w:rsidR="001A06BD" w:rsidRPr="002048BB" w:rsidP="001A06BD">
      <w:pPr>
        <w:pStyle w:val="BodyTextIndent3"/>
        <w:numPr>
          <w:ilvl w:val="0"/>
          <w:numId w:val="10"/>
        </w:numPr>
        <w:tabs>
          <w:tab w:val="num" w:pos="0"/>
          <w:tab w:val="clear" w:pos="720"/>
        </w:tabs>
        <w:ind w:left="0" w:firstLine="720"/>
        <w:jc w:val="left"/>
        <w:rPr>
          <w:szCs w:val="22"/>
        </w:rPr>
      </w:pPr>
      <w:r w:rsidRPr="002048BB">
        <w:rPr>
          <w:szCs w:val="22"/>
        </w:rPr>
        <w:t xml:space="preserve">In accordance with Section 1.16 of the Rules, we direct </w:t>
      </w:r>
      <w:r w:rsidR="004A71B5">
        <w:rPr>
          <w:szCs w:val="22"/>
        </w:rPr>
        <w:t xml:space="preserve">The Vacation Channel, LLC </w:t>
      </w:r>
      <w:r w:rsidRPr="002048BB">
        <w:rPr>
          <w:szCs w:val="22"/>
        </w:rPr>
        <w:t xml:space="preserve">to support its response to this Notice with an affidavit or declaration under penalty of perjury, signed and dated by an authorized officer of </w:t>
      </w:r>
      <w:r w:rsidR="004A71B5">
        <w:rPr>
          <w:szCs w:val="22"/>
        </w:rPr>
        <w:t xml:space="preserve">The Vacation Channel, LLC </w:t>
      </w:r>
      <w:r w:rsidRPr="002048BB">
        <w:rPr>
          <w:szCs w:val="22"/>
        </w:rPr>
        <w:t>with personal knowledge of the representations provided in</w:t>
      </w:r>
      <w:r w:rsidR="004A71B5">
        <w:rPr>
          <w:szCs w:val="22"/>
        </w:rPr>
        <w:t xml:space="preserve"> The Vacation Channel, LLC</w:t>
      </w:r>
      <w:r>
        <w:rPr>
          <w:szCs w:val="22"/>
        </w:rPr>
        <w:t>’</w:t>
      </w:r>
      <w:r w:rsidRPr="002048BB">
        <w:rPr>
          <w:szCs w:val="22"/>
        </w:rPr>
        <w:t>s</w:t>
      </w:r>
      <w:r>
        <w:rPr>
          <w:szCs w:val="22"/>
        </w:rPr>
        <w:t xml:space="preserve"> </w:t>
      </w:r>
      <w:r w:rsidRPr="002048BB">
        <w:rPr>
          <w:szCs w:val="22"/>
        </w:rPr>
        <w:t>response, verifying the truth and accuracy of the information therein,</w:t>
      </w:r>
      <w:r>
        <w:rPr>
          <w:rStyle w:val="FootnoteReference"/>
          <w:rFonts w:eastAsiaTheme="majorEastAsia"/>
          <w:szCs w:val="22"/>
        </w:rPr>
        <w:footnoteReference w:id="8"/>
      </w:r>
      <w:r w:rsidRPr="002048BB">
        <w:t xml:space="preserve"> and confirming that all of the information requested by this Notice which is in the company’s possession, custody, control, or knowledge has been produced</w:t>
      </w:r>
      <w:r w:rsidRPr="002048BB">
        <w:rPr>
          <w:szCs w:val="22"/>
        </w:rPr>
        <w:t>.  To knowingly and willfully make any false statement or conceal any material fact in reply to this Notice is punishable by fine or imprisonment under Title 18 of the U.S. Code.</w:t>
      </w:r>
      <w:r>
        <w:rPr>
          <w:rStyle w:val="FootnoteReference"/>
          <w:rFonts w:eastAsiaTheme="majorEastAsia"/>
          <w:sz w:val="22"/>
          <w:szCs w:val="22"/>
        </w:rPr>
        <w:footnoteReference w:id="9"/>
      </w:r>
      <w:r w:rsidRPr="002048BB">
        <w:rPr>
          <w:szCs w:val="22"/>
        </w:rPr>
        <w:t xml:space="preserve">  </w:t>
      </w:r>
    </w:p>
    <w:p w:rsidR="001A06BD" w:rsidP="001A06BD">
      <w:pPr>
        <w:pStyle w:val="BodyTextIndent3"/>
        <w:ind w:firstLine="0"/>
        <w:jc w:val="left"/>
        <w:rPr>
          <w:szCs w:val="22"/>
        </w:rPr>
      </w:pPr>
    </w:p>
    <w:p w:rsidR="001A06BD" w:rsidP="001A06BD">
      <w:pPr>
        <w:pStyle w:val="BodyTextIndent3"/>
        <w:numPr>
          <w:ilvl w:val="0"/>
          <w:numId w:val="10"/>
        </w:numPr>
        <w:tabs>
          <w:tab w:val="num" w:pos="0"/>
          <w:tab w:val="clear" w:pos="72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1A06BD" w:rsidP="001A06BD">
      <w:pPr>
        <w:rPr>
          <w:color w:val="000000"/>
          <w:sz w:val="22"/>
          <w:szCs w:val="22"/>
        </w:rPr>
      </w:pPr>
    </w:p>
    <w:p w:rsidR="001A06BD" w:rsidRPr="002048BB" w:rsidP="001A06BD">
      <w:pPr>
        <w:keepNext/>
        <w:keepLines/>
        <w:ind w:left="2520"/>
        <w:rPr>
          <w:sz w:val="22"/>
          <w:szCs w:val="22"/>
        </w:rPr>
      </w:pPr>
      <w:r w:rsidRPr="002048BB">
        <w:rPr>
          <w:sz w:val="22"/>
          <w:szCs w:val="22"/>
        </w:rPr>
        <w:t>Federal Communications Commission</w:t>
      </w:r>
    </w:p>
    <w:p w:rsidR="001A06BD" w:rsidRPr="002048BB" w:rsidP="001A06BD">
      <w:pPr>
        <w:keepNext/>
        <w:keepLines/>
        <w:ind w:left="2520"/>
        <w:rPr>
          <w:sz w:val="22"/>
          <w:szCs w:val="22"/>
        </w:rPr>
      </w:pPr>
      <w:r>
        <w:rPr>
          <w:sz w:val="22"/>
          <w:szCs w:val="22"/>
        </w:rPr>
        <w:t>Office of Regional Director</w:t>
      </w:r>
    </w:p>
    <w:p w:rsidR="004A71B5" w:rsidP="001A06BD">
      <w:pPr>
        <w:keepNext/>
        <w:keepLines/>
        <w:ind w:left="2520"/>
        <w:rPr>
          <w:sz w:val="22"/>
          <w:szCs w:val="22"/>
        </w:rPr>
      </w:pPr>
      <w:r>
        <w:rPr>
          <w:sz w:val="22"/>
          <w:szCs w:val="22"/>
        </w:rPr>
        <w:t>Columbia Regional Office</w:t>
      </w:r>
    </w:p>
    <w:p w:rsidR="004A71B5" w:rsidP="001A06BD">
      <w:pPr>
        <w:keepNext/>
        <w:keepLines/>
        <w:ind w:left="2520"/>
        <w:rPr>
          <w:sz w:val="22"/>
          <w:szCs w:val="22"/>
        </w:rPr>
      </w:pPr>
      <w:r>
        <w:rPr>
          <w:sz w:val="22"/>
          <w:szCs w:val="22"/>
        </w:rPr>
        <w:t>9050 Junction Drive</w:t>
      </w:r>
    </w:p>
    <w:p w:rsidR="004A71B5" w:rsidP="001A06BD">
      <w:pPr>
        <w:keepNext/>
        <w:keepLines/>
        <w:ind w:left="2520"/>
        <w:rPr>
          <w:sz w:val="22"/>
          <w:szCs w:val="22"/>
        </w:rPr>
      </w:pPr>
      <w:r>
        <w:rPr>
          <w:sz w:val="22"/>
          <w:szCs w:val="22"/>
        </w:rPr>
        <w:t>Annapolis, Maryland 20701</w:t>
      </w:r>
    </w:p>
    <w:p w:rsidR="001A06BD" w:rsidP="001A06BD">
      <w:pPr>
        <w:tabs>
          <w:tab w:val="left" w:pos="-1440"/>
        </w:tabs>
        <w:rPr>
          <w:color w:val="000000"/>
          <w:sz w:val="22"/>
          <w:szCs w:val="22"/>
        </w:rPr>
      </w:pPr>
    </w:p>
    <w:p w:rsidR="004A71B5" w:rsidRPr="003F0171" w:rsidP="00617400">
      <w:pPr>
        <w:tabs>
          <w:tab w:val="left" w:pos="-1440"/>
        </w:tabs>
        <w:rPr>
          <w:sz w:val="22"/>
          <w:szCs w:val="22"/>
        </w:rPr>
      </w:pPr>
      <w:r w:rsidRPr="003F0171">
        <w:rPr>
          <w:sz w:val="22"/>
          <w:szCs w:val="22"/>
        </w:rPr>
        <w:t>This Notice shall be sent to The Vacation Channel, LLC, 225 Violyn Drive, Branson, MO 65616</w:t>
      </w:r>
      <w:r w:rsidRPr="003F0171" w:rsidR="003F0171">
        <w:rPr>
          <w:sz w:val="22"/>
          <w:szCs w:val="22"/>
        </w:rPr>
        <w:t xml:space="preserve"> and its counsel of record, Paul Feldman, Fletcher Hield and Hildreth, P.L.C., 1300 North 17</w:t>
      </w:r>
      <w:r w:rsidRPr="00AD7AE6" w:rsidR="003F0171">
        <w:rPr>
          <w:sz w:val="22"/>
          <w:szCs w:val="22"/>
          <w:vertAlign w:val="superscript"/>
        </w:rPr>
        <w:t>th</w:t>
      </w:r>
      <w:r w:rsidRPr="003F0171" w:rsidR="003F0171">
        <w:rPr>
          <w:sz w:val="22"/>
          <w:szCs w:val="22"/>
        </w:rPr>
        <w:t xml:space="preserve"> Street, Eleventh Floor, Arlington, VA  22209</w:t>
      </w:r>
      <w:r w:rsidR="003F0171">
        <w:rPr>
          <w:sz w:val="22"/>
          <w:szCs w:val="22"/>
        </w:rPr>
        <w:t>.</w:t>
      </w:r>
    </w:p>
    <w:p w:rsidR="005B1B66" w:rsidP="004A71B5">
      <w:pPr>
        <w:tabs>
          <w:tab w:val="left" w:pos="-1440"/>
        </w:tabs>
        <w:rPr>
          <w:sz w:val="22"/>
          <w:szCs w:val="22"/>
        </w:rPr>
      </w:pPr>
    </w:p>
    <w:p w:rsidR="005B1B66" w:rsidP="004A71B5">
      <w:pPr>
        <w:tabs>
          <w:tab w:val="left" w:pos="-1440"/>
        </w:tabs>
        <w:rPr>
          <w:sz w:val="22"/>
          <w:szCs w:val="22"/>
        </w:rPr>
      </w:pPr>
    </w:p>
    <w:p w:rsidR="005B1B66" w:rsidP="004A71B5">
      <w:pPr>
        <w:tabs>
          <w:tab w:val="left" w:pos="-1440"/>
        </w:tabs>
        <w:rPr>
          <w:sz w:val="22"/>
          <w:szCs w:val="22"/>
        </w:rPr>
      </w:pPr>
    </w:p>
    <w:p w:rsidR="005B1B66" w:rsidP="004A71B5">
      <w:pPr>
        <w:tabs>
          <w:tab w:val="left" w:pos="-1440"/>
        </w:tabs>
        <w:rPr>
          <w:sz w:val="22"/>
          <w:szCs w:val="22"/>
        </w:rPr>
      </w:pPr>
    </w:p>
    <w:p w:rsidR="005B1B66" w:rsidP="004A71B5">
      <w:pPr>
        <w:tabs>
          <w:tab w:val="left" w:pos="-1440"/>
        </w:tabs>
        <w:rPr>
          <w:sz w:val="22"/>
          <w:szCs w:val="22"/>
        </w:rPr>
      </w:pPr>
    </w:p>
    <w:p w:rsidR="005B1B66" w:rsidRPr="005D2A72" w:rsidP="004A71B5">
      <w:pPr>
        <w:tabs>
          <w:tab w:val="left" w:pos="-1440"/>
        </w:tabs>
        <w:rPr>
          <w:sz w:val="22"/>
          <w:szCs w:val="22"/>
        </w:rPr>
      </w:pPr>
    </w:p>
    <w:p w:rsidR="004A71B5" w:rsidRPr="005D2A72" w:rsidP="004A71B5">
      <w:pPr>
        <w:numPr>
          <w:ilvl w:val="0"/>
          <w:numId w:val="10"/>
        </w:numPr>
        <w:tabs>
          <w:tab w:val="left" w:pos="-1440"/>
          <w:tab w:val="num" w:pos="0"/>
          <w:tab w:val="clear" w:pos="720"/>
        </w:tabs>
        <w:ind w:left="0" w:firstLine="720"/>
        <w:rPr>
          <w:b/>
          <w:sz w:val="22"/>
          <w:szCs w:val="22"/>
        </w:rPr>
      </w:pPr>
      <w:r w:rsidRPr="005D2A72">
        <w:rPr>
          <w:sz w:val="22"/>
          <w:szCs w:val="22"/>
        </w:rPr>
        <w:t>The Privacy Act of 1974</w:t>
      </w:r>
      <w:r>
        <w:rPr>
          <w:rStyle w:val="FootnoteReference"/>
          <w:rFonts w:eastAsiaTheme="majorEastAsia"/>
          <w:sz w:val="22"/>
          <w:szCs w:val="22"/>
        </w:rPr>
        <w:footnoteReference w:id="10"/>
      </w:r>
      <w:r w:rsidRPr="005D2A72">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4A71B5" w:rsidRPr="005D2A72" w:rsidP="004A71B5">
      <w:pPr>
        <w:tabs>
          <w:tab w:val="left" w:pos="-1440"/>
        </w:tabs>
        <w:rPr>
          <w:b/>
          <w:sz w:val="22"/>
          <w:szCs w:val="22"/>
        </w:rPr>
      </w:pPr>
    </w:p>
    <w:p w:rsidR="004A71B5" w:rsidRPr="005D2A72" w:rsidP="004A71B5">
      <w:pPr>
        <w:rPr>
          <w:sz w:val="22"/>
          <w:szCs w:val="22"/>
        </w:rPr>
      </w:pPr>
    </w:p>
    <w:p w:rsidR="004A71B5" w:rsidRPr="005D2A72" w:rsidP="004A71B5">
      <w:pPr>
        <w:ind w:firstLine="4680"/>
        <w:rPr>
          <w:sz w:val="22"/>
          <w:szCs w:val="22"/>
        </w:rPr>
      </w:pPr>
      <w:r w:rsidRPr="005D2A72">
        <w:rPr>
          <w:sz w:val="22"/>
          <w:szCs w:val="22"/>
        </w:rPr>
        <w:t>FEDERAL COMMUNICATIONS COMMISSION</w:t>
      </w:r>
    </w:p>
    <w:p w:rsidR="004A71B5" w:rsidRPr="005D2A72" w:rsidP="004A71B5">
      <w:pPr>
        <w:rPr>
          <w:sz w:val="22"/>
          <w:szCs w:val="22"/>
        </w:rPr>
      </w:pPr>
    </w:p>
    <w:p w:rsidR="004A71B5" w:rsidRPr="005D2A72" w:rsidP="004A71B5">
      <w:pPr>
        <w:rPr>
          <w:sz w:val="22"/>
          <w:szCs w:val="22"/>
        </w:rPr>
      </w:pPr>
    </w:p>
    <w:p w:rsidR="004A71B5" w:rsidRPr="005D2A72" w:rsidP="004A71B5">
      <w:pPr>
        <w:rPr>
          <w:sz w:val="22"/>
          <w:szCs w:val="22"/>
        </w:rPr>
      </w:pPr>
    </w:p>
    <w:p w:rsidR="004A71B5" w:rsidRPr="005D2A72" w:rsidP="004A71B5">
      <w:pPr>
        <w:rPr>
          <w:sz w:val="22"/>
          <w:szCs w:val="22"/>
        </w:rPr>
      </w:pPr>
    </w:p>
    <w:p w:rsidR="004A71B5" w:rsidRPr="00D01FB5" w:rsidP="004A71B5">
      <w:pPr>
        <w:pStyle w:val="Header"/>
        <w:ind w:firstLine="4680"/>
        <w:rPr>
          <w:sz w:val="22"/>
          <w:szCs w:val="22"/>
        </w:rPr>
      </w:pPr>
      <w:r w:rsidRPr="00D01FB5">
        <w:rPr>
          <w:sz w:val="22"/>
          <w:szCs w:val="22"/>
        </w:rPr>
        <w:t>David C. Dombrowski</w:t>
      </w:r>
    </w:p>
    <w:p w:rsidR="004A71B5" w:rsidRPr="00D01FB5" w:rsidP="004A71B5">
      <w:pPr>
        <w:pStyle w:val="Header"/>
        <w:ind w:firstLine="4680"/>
        <w:rPr>
          <w:sz w:val="22"/>
          <w:szCs w:val="22"/>
        </w:rPr>
      </w:pPr>
      <w:r w:rsidRPr="00D01FB5">
        <w:rPr>
          <w:sz w:val="22"/>
          <w:szCs w:val="22"/>
        </w:rPr>
        <w:t>Regional Director</w:t>
      </w:r>
    </w:p>
    <w:p w:rsidR="004A71B5" w:rsidRPr="00D01FB5" w:rsidP="004A71B5">
      <w:pPr>
        <w:pStyle w:val="Header"/>
        <w:ind w:firstLine="4680"/>
        <w:rPr>
          <w:sz w:val="22"/>
          <w:szCs w:val="22"/>
        </w:rPr>
      </w:pPr>
      <w:r w:rsidRPr="00D01FB5">
        <w:rPr>
          <w:sz w:val="22"/>
          <w:szCs w:val="22"/>
        </w:rPr>
        <w:t>Region One</w:t>
      </w:r>
    </w:p>
    <w:p w:rsidR="004A71B5" w:rsidRPr="00D01FB5" w:rsidP="004A71B5">
      <w:pPr>
        <w:pStyle w:val="Header"/>
        <w:ind w:firstLine="4680"/>
        <w:rPr>
          <w:sz w:val="22"/>
          <w:szCs w:val="22"/>
        </w:rPr>
      </w:pPr>
      <w:r w:rsidRPr="00D01FB5">
        <w:rPr>
          <w:sz w:val="22"/>
          <w:szCs w:val="22"/>
        </w:rPr>
        <w:t>Enforcement Bureau</w:t>
      </w:r>
    </w:p>
    <w:p w:rsidR="004A71B5" w:rsidRPr="00D01FB5" w:rsidP="004A71B5">
      <w:pPr>
        <w:pStyle w:val="Header"/>
        <w:ind w:firstLine="4680"/>
        <w:rPr>
          <w:sz w:val="22"/>
          <w:szCs w:val="22"/>
        </w:rPr>
      </w:pPr>
      <w:r w:rsidRPr="00D01FB5">
        <w:rPr>
          <w:sz w:val="22"/>
          <w:szCs w:val="22"/>
        </w:rPr>
        <w:t>Federal Communications Commission</w:t>
      </w:r>
    </w:p>
    <w:p w:rsidR="004A71B5" w:rsidRPr="00892623" w:rsidP="004A71B5">
      <w:pPr>
        <w:pStyle w:val="Header"/>
        <w:tabs>
          <w:tab w:val="clear" w:pos="4320"/>
          <w:tab w:val="clear" w:pos="8640"/>
        </w:tabs>
        <w:ind w:firstLine="4680"/>
        <w:rPr>
          <w:sz w:val="22"/>
          <w:szCs w:val="22"/>
        </w:rPr>
      </w:pPr>
    </w:p>
    <w:sectPr w:rsidSect="00562ABB">
      <w:headerReference w:type="default" r:id="rId5"/>
      <w:footerReference w:type="even" r:id="rId6"/>
      <w:footerReference w:type="default" r:id="rId7"/>
      <w:headerReference w:type="first" r:id="rId8"/>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3F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706B">
      <w:rPr>
        <w:rStyle w:val="PageNumber"/>
        <w:noProof/>
      </w:rPr>
      <w:t>2</w:t>
    </w:r>
    <w:r>
      <w:rPr>
        <w:rStyle w:val="PageNumber"/>
      </w:rPr>
      <w:fldChar w:fldCharType="end"/>
    </w:r>
  </w:p>
  <w:p w:rsidR="00F13F49">
    <w:pPr>
      <w:spacing w:line="240" w:lineRule="exact"/>
      <w:rPr>
        <w:sz w:val="22"/>
      </w:rPr>
    </w:pPr>
  </w:p>
  <w:p w:rsidR="00F13F4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3D0E">
      <w:r>
        <w:separator/>
      </w:r>
    </w:p>
  </w:footnote>
  <w:footnote w:type="continuationSeparator" w:id="1">
    <w:p w:rsidR="00BD3D0E">
      <w:r>
        <w:continuationSeparator/>
      </w:r>
    </w:p>
  </w:footnote>
  <w:footnote w:id="2">
    <w:p w:rsidR="00F13F49" w:rsidP="00BF0B84">
      <w:pPr>
        <w:pStyle w:val="FootnoteText"/>
        <w:spacing w:after="120"/>
      </w:pPr>
      <w:r w:rsidRPr="00C64968">
        <w:rPr>
          <w:rStyle w:val="FootnoteReference"/>
        </w:rPr>
        <w:footnoteRef/>
      </w:r>
      <w:r>
        <w:rPr>
          <w:sz w:val="20"/>
        </w:rPr>
        <w:t xml:space="preserve"> </w:t>
      </w:r>
      <w:r w:rsidRPr="00C64968">
        <w:rPr>
          <w:sz w:val="20"/>
        </w:rPr>
        <w:t xml:space="preserve">47 </w:t>
      </w:r>
      <w:r w:rsidR="002E72B1">
        <w:rPr>
          <w:sz w:val="20"/>
        </w:rPr>
        <w:t>CFR</w:t>
      </w:r>
      <w:r w:rsidRPr="00C64968">
        <w:rPr>
          <w:sz w:val="20"/>
        </w:rPr>
        <w:t xml:space="preserve"> § 1.89</w:t>
      </w:r>
      <w:r>
        <w:rPr>
          <w:sz w:val="20"/>
        </w:rPr>
        <w:t>.</w:t>
      </w:r>
    </w:p>
  </w:footnote>
  <w:footnote w:id="3">
    <w:p w:rsidR="00F13F49" w:rsidP="00BF0B84">
      <w:pPr>
        <w:tabs>
          <w:tab w:val="left" w:pos="-1440"/>
        </w:tabs>
        <w:spacing w:after="120"/>
      </w:pPr>
      <w:r>
        <w:rPr>
          <w:rStyle w:val="FootnoteReference"/>
        </w:rPr>
        <w:footnoteRef/>
      </w:r>
      <w:r>
        <w:t xml:space="preserve"> </w:t>
      </w:r>
      <w:r w:rsidRPr="0041136F">
        <w:t xml:space="preserve">47 </w:t>
      </w:r>
      <w:r w:rsidR="002E72B1">
        <w:t>CFR</w:t>
      </w:r>
      <w:r w:rsidRPr="0041136F">
        <w:t xml:space="preserve"> § 1.89(a).</w:t>
      </w:r>
      <w:r>
        <w:t xml:space="preserve">  </w:t>
      </w:r>
    </w:p>
  </w:footnote>
  <w:footnote w:id="4">
    <w:p w:rsidR="007A45DD" w:rsidRPr="007A45DD">
      <w:pPr>
        <w:pStyle w:val="FootnoteText"/>
        <w:rPr>
          <w:sz w:val="20"/>
        </w:rPr>
      </w:pPr>
      <w:r>
        <w:rPr>
          <w:rStyle w:val="FootnoteReference"/>
        </w:rPr>
        <w:footnoteRef/>
      </w:r>
      <w:r>
        <w:t xml:space="preserve"> </w:t>
      </w:r>
      <w:r w:rsidRPr="007A45DD">
        <w:rPr>
          <w:sz w:val="20"/>
        </w:rPr>
        <w:t xml:space="preserve">According to the Missouri State EAS Plan, Station KBNS-CD is located in the Springfield Operational Area and should monitor FM Station KTTS on 94.7 MHz as its Local Primary 1 Source and FM Station KTXR on 101.3 MHz as its Local Primary 2 Source.  </w:t>
      </w:r>
    </w:p>
    <w:p w:rsidR="007A45DD">
      <w:pPr>
        <w:pStyle w:val="FootnoteText"/>
      </w:pPr>
    </w:p>
  </w:footnote>
  <w:footnote w:id="5">
    <w:p w:rsidR="004A71B5" w:rsidP="004A71B5">
      <w:pPr>
        <w:pStyle w:val="FootnoteText"/>
        <w:spacing w:after="120"/>
        <w:rPr>
          <w:sz w:val="20"/>
        </w:rPr>
      </w:pPr>
      <w:r>
        <w:rPr>
          <w:rStyle w:val="FootnoteReference"/>
          <w:rFonts w:eastAsiaTheme="majorEastAsia"/>
        </w:rPr>
        <w:footnoteRef/>
      </w:r>
      <w:r>
        <w:rPr>
          <w:sz w:val="20"/>
        </w:rPr>
        <w:t xml:space="preserve"> 47 U.S.C. § </w:t>
      </w:r>
      <w:r w:rsidRPr="004E3D31">
        <w:rPr>
          <w:color w:val="000000"/>
          <w:sz w:val="20"/>
        </w:rPr>
        <w:t>308(b)</w:t>
      </w:r>
      <w:r w:rsidRPr="00025DF6">
        <w:rPr>
          <w:sz w:val="20"/>
        </w:rPr>
        <w:t>.</w:t>
      </w:r>
    </w:p>
  </w:footnote>
  <w:footnote w:id="6">
    <w:p w:rsidR="004A71B5" w:rsidRPr="005D2A72" w:rsidP="004A71B5">
      <w:pPr>
        <w:pStyle w:val="FootnoteText"/>
        <w:spacing w:after="120"/>
        <w:rPr>
          <w:sz w:val="20"/>
        </w:rPr>
      </w:pPr>
      <w:r>
        <w:rPr>
          <w:rStyle w:val="FootnoteReference"/>
          <w:rFonts w:eastAsiaTheme="majorEastAsia"/>
        </w:rPr>
        <w:footnoteRef/>
      </w:r>
      <w:r>
        <w:rPr>
          <w:sz w:val="20"/>
        </w:rPr>
        <w:t xml:space="preserve"> 47 U.S.</w:t>
      </w:r>
      <w:r w:rsidRPr="005D2A72">
        <w:rPr>
          <w:sz w:val="20"/>
        </w:rPr>
        <w:t>C. § 403.</w:t>
      </w:r>
    </w:p>
  </w:footnote>
  <w:footnote w:id="7">
    <w:p w:rsidR="004A71B5" w:rsidP="004A71B5">
      <w:pPr>
        <w:pStyle w:val="FootnoteText"/>
        <w:spacing w:after="120"/>
      </w:pPr>
      <w:r>
        <w:rPr>
          <w:rStyle w:val="FootnoteReference"/>
          <w:rFonts w:eastAsiaTheme="majorEastAsia"/>
        </w:rPr>
        <w:footnoteRef/>
      </w:r>
      <w:r>
        <w:rPr>
          <w:sz w:val="20"/>
        </w:rPr>
        <w:t xml:space="preserve"> </w:t>
      </w:r>
      <w:r w:rsidRPr="00510AC7">
        <w:rPr>
          <w:sz w:val="20"/>
        </w:rPr>
        <w:t xml:space="preserve">47 </w:t>
      </w:r>
      <w:r>
        <w:rPr>
          <w:sz w:val="20"/>
        </w:rPr>
        <w:t>CFR</w:t>
      </w:r>
      <w:r w:rsidRPr="00510AC7">
        <w:rPr>
          <w:sz w:val="20"/>
        </w:rPr>
        <w:t xml:space="preserve"> § 1.89(c).</w:t>
      </w:r>
    </w:p>
  </w:footnote>
  <w:footnote w:id="8">
    <w:p w:rsidR="001A06BD" w:rsidP="001A06BD">
      <w:pPr>
        <w:widowControl w:val="0"/>
        <w:autoSpaceDE w:val="0"/>
        <w:autoSpaceDN w:val="0"/>
        <w:adjustRightInd w:val="0"/>
        <w:spacing w:after="120"/>
      </w:pPr>
      <w:r>
        <w:rPr>
          <w:rStyle w:val="FootnoteReference"/>
          <w:rFonts w:eastAsiaTheme="majorEastAsia"/>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9">
    <w:p w:rsidR="001A06BD" w:rsidRPr="0072561F" w:rsidP="001A06BD">
      <w:pPr>
        <w:pStyle w:val="FootnoteText"/>
        <w:spacing w:after="120"/>
        <w:rPr>
          <w:sz w:val="20"/>
        </w:rPr>
      </w:pPr>
      <w:r>
        <w:rPr>
          <w:rStyle w:val="FootnoteReference"/>
          <w:rFonts w:eastAsiaTheme="majorEastAsia"/>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10">
    <w:p w:rsidR="004A71B5" w:rsidRPr="00545132" w:rsidP="004A71B5">
      <w:pPr>
        <w:pStyle w:val="FootnoteText"/>
        <w:rPr>
          <w:sz w:val="20"/>
          <w:lang w:val="it-IT"/>
        </w:rPr>
      </w:pPr>
      <w:r w:rsidRPr="00C64968">
        <w:rPr>
          <w:rStyle w:val="FootnoteReference"/>
          <w:rFonts w:eastAsiaTheme="majorEastAsia"/>
        </w:rPr>
        <w:footnoteRef/>
      </w:r>
      <w:r w:rsidRPr="00545132">
        <w:rPr>
          <w:sz w:val="20"/>
          <w:lang w:val="it-IT"/>
        </w:rPr>
        <w:t xml:space="preserve"> P.L. 93-579, 5 U.S.C. § 552a(e)(3).</w:t>
      </w:r>
      <w:bookmarkStart w:id="0" w:name="_GoBack"/>
      <w:bookmarkEnd w:id="0"/>
    </w:p>
    <w:p w:rsidR="004A71B5" w:rsidRPr="00545132" w:rsidP="004A71B5">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13F49">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F13F49">
    <w:pPr>
      <w:spacing w:line="226" w:lineRule="auto"/>
      <w:jc w:val="both"/>
      <w:rPr>
        <w:sz w:val="22"/>
      </w:rPr>
    </w:pPr>
  </w:p>
  <w:p w:rsidR="00F13F49">
    <w:pPr>
      <w:spacing w:line="240" w:lineRule="exac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13F49">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F13F49">
    <w:pPr>
      <w:tabs>
        <w:tab w:val="center" w:pos="4680"/>
        <w:tab w:val="right" w:pos="9360"/>
      </w:tabs>
      <w:spacing w:line="226" w:lineRule="auto"/>
      <w:jc w:val="both"/>
    </w:pPr>
  </w:p>
  <w:p w:rsidR="00F13F49">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BC882ED8"/>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2520"/>
        </w:tabs>
        <w:ind w:left="2520" w:hanging="144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start w:val="1"/>
      <w:numFmt w:val="decimal"/>
      <w:lvlText w:val="%1."/>
      <w:lvlJc w:val="left"/>
      <w:pPr>
        <w:tabs>
          <w:tab w:val="num" w:pos="990"/>
        </w:tabs>
        <w:ind w:left="990" w:hanging="360"/>
      </w:pPr>
      <w:rPr>
        <w:rFonts w:cs="Times New Roman"/>
      </w:rPr>
    </w:lvl>
    <w:lvl w:ilvl="1" w:tentative="1">
      <w:start w:val="1"/>
      <w:numFmt w:val="lowerLetter"/>
      <w:lvlText w:val="%2."/>
      <w:lvlJc w:val="left"/>
      <w:pPr>
        <w:tabs>
          <w:tab w:val="num" w:pos="1710"/>
        </w:tabs>
        <w:ind w:left="1710" w:hanging="360"/>
      </w:pPr>
      <w:rPr>
        <w:rFonts w:cs="Times New Roman"/>
      </w:rPr>
    </w:lvl>
    <w:lvl w:ilvl="2" w:tentative="1">
      <w:start w:val="1"/>
      <w:numFmt w:val="lowerRoman"/>
      <w:lvlText w:val="%3."/>
      <w:lvlJc w:val="right"/>
      <w:pPr>
        <w:tabs>
          <w:tab w:val="num" w:pos="2430"/>
        </w:tabs>
        <w:ind w:left="2430" w:hanging="180"/>
      </w:pPr>
      <w:rPr>
        <w:rFonts w:cs="Times New Roman"/>
      </w:rPr>
    </w:lvl>
    <w:lvl w:ilvl="3" w:tentative="1">
      <w:start w:val="1"/>
      <w:numFmt w:val="decimal"/>
      <w:lvlText w:val="%4."/>
      <w:lvlJc w:val="left"/>
      <w:pPr>
        <w:tabs>
          <w:tab w:val="num" w:pos="3150"/>
        </w:tabs>
        <w:ind w:left="3150" w:hanging="360"/>
      </w:pPr>
      <w:rPr>
        <w:rFonts w:cs="Times New Roman"/>
      </w:rPr>
    </w:lvl>
    <w:lvl w:ilvl="4" w:tentative="1">
      <w:start w:val="1"/>
      <w:numFmt w:val="lowerLetter"/>
      <w:lvlText w:val="%5."/>
      <w:lvlJc w:val="left"/>
      <w:pPr>
        <w:tabs>
          <w:tab w:val="num" w:pos="3870"/>
        </w:tabs>
        <w:ind w:left="3870" w:hanging="360"/>
      </w:pPr>
      <w:rPr>
        <w:rFonts w:cs="Times New Roman"/>
      </w:rPr>
    </w:lvl>
    <w:lvl w:ilvl="5" w:tentative="1">
      <w:start w:val="1"/>
      <w:numFmt w:val="lowerRoman"/>
      <w:lvlText w:val="%6."/>
      <w:lvlJc w:val="right"/>
      <w:pPr>
        <w:tabs>
          <w:tab w:val="num" w:pos="4590"/>
        </w:tabs>
        <w:ind w:left="4590" w:hanging="180"/>
      </w:pPr>
      <w:rPr>
        <w:rFonts w:cs="Times New Roman"/>
      </w:rPr>
    </w:lvl>
    <w:lvl w:ilvl="6" w:tentative="1">
      <w:start w:val="1"/>
      <w:numFmt w:val="decimal"/>
      <w:lvlText w:val="%7."/>
      <w:lvlJc w:val="left"/>
      <w:pPr>
        <w:tabs>
          <w:tab w:val="num" w:pos="5310"/>
        </w:tabs>
        <w:ind w:left="5310" w:hanging="360"/>
      </w:pPr>
      <w:rPr>
        <w:rFonts w:cs="Times New Roman"/>
      </w:rPr>
    </w:lvl>
    <w:lvl w:ilvl="7" w:tentative="1">
      <w:start w:val="1"/>
      <w:numFmt w:val="lowerLetter"/>
      <w:lvlText w:val="%8."/>
      <w:lvlJc w:val="left"/>
      <w:pPr>
        <w:tabs>
          <w:tab w:val="num" w:pos="6030"/>
        </w:tabs>
        <w:ind w:left="6030" w:hanging="360"/>
      </w:pPr>
      <w:rPr>
        <w:rFonts w:cs="Times New Roman"/>
      </w:rPr>
    </w:lvl>
    <w:lvl w:ilvl="8"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5">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6">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8">
    <w:nsid w:val="6A4A6596"/>
    <w:multiLevelType w:val="hybridMultilevel"/>
    <w:tmpl w:val="935EF1A4"/>
    <w:lvl w:ilvl="0">
      <w:start w:val="3"/>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10">
    <w:nsid w:val="709609D5"/>
    <w:multiLevelType w:val="hybridMultilevel"/>
    <w:tmpl w:val="A9A005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9"/>
  </w:num>
  <w:num w:numId="4">
    <w:abstractNumId w:val="7"/>
  </w:num>
  <w:num w:numId="5">
    <w:abstractNumId w:val="5"/>
  </w:num>
  <w:num w:numId="6">
    <w:abstractNumId w:val="10"/>
  </w:num>
  <w:num w:numId="7">
    <w:abstractNumId w:val="6"/>
  </w:num>
  <w:num w:numId="8">
    <w:abstractNumId w:val="1"/>
  </w:num>
  <w:num w:numId="9">
    <w:abstractNumId w:val="8"/>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semiHidden/>
    <w:rsid w:val="00B97ECD"/>
    <w:rPr>
      <w:rFonts w:ascii="Times New Roman" w:hAnsi="Times New Roman" w:cs="Times New Roman"/>
      <w:sz w:val="20"/>
      <w:vertAlign w:val="superscript"/>
    </w:rPr>
  </w:style>
  <w:style w:type="paragraph" w:styleId="FootnoteText">
    <w:name w:val="footnote text"/>
    <w:basedOn w:val="Normal"/>
    <w:link w:val="FootnoteTextChar"/>
    <w:semiHidden/>
    <w:rsid w:val="00B97ECD"/>
    <w:pPr>
      <w:widowControl w:val="0"/>
    </w:pPr>
    <w:rPr>
      <w:sz w:val="18"/>
    </w:rPr>
  </w:style>
  <w:style w:type="character" w:customStyle="1" w:styleId="FootnoteTextChar">
    <w:name w:val="Footnote Text Char"/>
    <w:basedOn w:val="DefaultParagraphFont"/>
    <w:link w:val="FootnoteText"/>
    <w:semiHidden/>
    <w:locked/>
    <w:rsid w:val="001E11C6"/>
    <w:rPr>
      <w:snapToGrid w:val="0"/>
      <w:sz w:val="18"/>
      <w:lang w:val="en-US" w:eastAsia="en-US"/>
    </w:rPr>
  </w:style>
  <w:style w:type="paragraph" w:styleId="Header">
    <w:name w:val="header"/>
    <w:basedOn w:val="Normal"/>
    <w:link w:val="HeaderChar"/>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 w:type="paragraph" w:styleId="EndnoteText">
    <w:name w:val="endnote text"/>
    <w:basedOn w:val="Normal"/>
    <w:link w:val="EndnoteTextChar"/>
    <w:uiPriority w:val="99"/>
    <w:semiHidden/>
    <w:unhideWhenUsed/>
    <w:rsid w:val="00212367"/>
  </w:style>
  <w:style w:type="character" w:customStyle="1" w:styleId="EndnoteTextChar">
    <w:name w:val="Endnote Text Char"/>
    <w:basedOn w:val="DefaultParagraphFont"/>
    <w:link w:val="EndnoteText"/>
    <w:uiPriority w:val="99"/>
    <w:semiHidden/>
    <w:rsid w:val="00212367"/>
    <w:rPr>
      <w:sz w:val="20"/>
      <w:szCs w:val="20"/>
    </w:rPr>
  </w:style>
  <w:style w:type="character" w:styleId="EndnoteReference">
    <w:name w:val="endnote reference"/>
    <w:basedOn w:val="DefaultParagraphFont"/>
    <w:uiPriority w:val="99"/>
    <w:semiHidden/>
    <w:unhideWhenUsed/>
    <w:rsid w:val="00212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