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D3114" w:rsidRPr="006470DE" w:rsidP="00CD3114">
      <w:pPr>
        <w:suppressAutoHyphens/>
        <w:jc w:val="center"/>
        <w:outlineLvl w:val="0"/>
        <w:rPr>
          <w:b/>
          <w:sz w:val="28"/>
        </w:rPr>
      </w:pPr>
      <w:r w:rsidRPr="006470DE">
        <w:rPr>
          <w:noProof/>
        </w:rPr>
        <w:drawing>
          <wp:anchor distT="0" distB="0" distL="114300" distR="114300" simplePos="0" relativeHeight="251658240" behindDoc="1" locked="0" layoutInCell="1" allowOverlap="1">
            <wp:simplePos x="0" y="0"/>
            <wp:positionH relativeFrom="column">
              <wp:posOffset>-326390</wp:posOffset>
            </wp:positionH>
            <wp:positionV relativeFrom="paragraph">
              <wp:posOffset>0</wp:posOffset>
            </wp:positionV>
            <wp:extent cx="822960" cy="8229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r w:rsidRPr="006470DE">
        <w:rPr>
          <w:b/>
          <w:sz w:val="28"/>
        </w:rPr>
        <w:t>FEDERAL COMMUNICATIONS COMMISSION</w:t>
      </w:r>
    </w:p>
    <w:p w:rsidR="00CD3114" w:rsidRPr="006470DE" w:rsidP="00CD3114">
      <w:pPr>
        <w:pStyle w:val="Header"/>
        <w:tabs>
          <w:tab w:val="clear" w:pos="4320"/>
          <w:tab w:val="clear" w:pos="8640"/>
        </w:tabs>
        <w:jc w:val="center"/>
        <w:rPr>
          <w:b/>
        </w:rPr>
      </w:pPr>
      <w:r w:rsidRPr="006470DE">
        <w:rPr>
          <w:b/>
        </w:rPr>
        <w:t>ENFORCEMENT BUREAU</w:t>
      </w:r>
    </w:p>
    <w:p w:rsidR="00CD3114" w:rsidRPr="006470DE" w:rsidP="00CD3114">
      <w:pPr>
        <w:pStyle w:val="Header"/>
        <w:tabs>
          <w:tab w:val="clear" w:pos="4320"/>
          <w:tab w:val="clear" w:pos="8640"/>
        </w:tabs>
        <w:jc w:val="center"/>
        <w:rPr>
          <w:b/>
        </w:rPr>
      </w:pPr>
      <w:r w:rsidRPr="006470DE">
        <w:rPr>
          <w:b/>
        </w:rPr>
        <w:t xml:space="preserve">REGION </w:t>
      </w:r>
      <w:r w:rsidR="00C072CF">
        <w:rPr>
          <w:b/>
        </w:rPr>
        <w:t>ONE</w:t>
      </w:r>
      <w:r w:rsidRPr="006470DE">
        <w:rPr>
          <w:b/>
        </w:rPr>
        <w:t xml:space="preserve"> </w:t>
      </w:r>
    </w:p>
    <w:p w:rsidR="00CD3114" w:rsidRPr="006470DE" w:rsidP="00CD3114">
      <w:pPr>
        <w:pStyle w:val="Header"/>
        <w:tabs>
          <w:tab w:val="clear" w:pos="4320"/>
          <w:tab w:val="clear" w:pos="8640"/>
        </w:tabs>
      </w:pPr>
    </w:p>
    <w:p w:rsidR="00CD3114" w:rsidRPr="006470DE" w:rsidP="00CD3114">
      <w:pPr>
        <w:suppressAutoHyphens/>
        <w:jc w:val="center"/>
        <w:outlineLvl w:val="0"/>
      </w:pPr>
      <w:r>
        <w:t>Columbia</w:t>
      </w:r>
      <w:r w:rsidRPr="006470DE">
        <w:t xml:space="preserve"> Regional Office</w:t>
      </w:r>
    </w:p>
    <w:p w:rsidR="00CD3114" w:rsidRPr="006470DE" w:rsidP="00CD3114">
      <w:pPr>
        <w:suppressAutoHyphens/>
        <w:jc w:val="center"/>
        <w:outlineLvl w:val="0"/>
      </w:pPr>
      <w:r>
        <w:t>9050 Junction Drive</w:t>
      </w:r>
    </w:p>
    <w:p w:rsidR="00CD3114" w:rsidRPr="006470DE" w:rsidP="00CD3114">
      <w:pPr>
        <w:suppressAutoHyphens/>
        <w:jc w:val="center"/>
        <w:outlineLvl w:val="0"/>
      </w:pPr>
      <w:r>
        <w:t>Annapolis Junction, MD 20701</w:t>
      </w:r>
    </w:p>
    <w:p w:rsidR="00CD3114" w:rsidP="00CD3114">
      <w:pPr>
        <w:suppressAutoHyphens/>
        <w:jc w:val="center"/>
        <w:outlineLvl w:val="0"/>
      </w:pPr>
      <w:r>
        <w:t>(301) 725-1996</w:t>
      </w:r>
    </w:p>
    <w:p w:rsidR="001348D7" w:rsidRPr="006470DE" w:rsidP="00CD3114">
      <w:pPr>
        <w:suppressAutoHyphens/>
        <w:jc w:val="center"/>
        <w:outlineLvl w:val="0"/>
        <w:rPr>
          <w:szCs w:val="24"/>
        </w:rPr>
      </w:pPr>
      <w:r>
        <w:rPr>
          <w:szCs w:val="24"/>
        </w:rPr>
        <w:t>field@fcc.gov</w:t>
      </w:r>
    </w:p>
    <w:p w:rsidR="00CD3114" w:rsidRPr="006470DE" w:rsidP="00CD3114">
      <w:pPr>
        <w:suppressAutoHyphens/>
        <w:jc w:val="center"/>
        <w:rPr>
          <w:szCs w:val="24"/>
        </w:rPr>
      </w:pPr>
    </w:p>
    <w:p w:rsidR="00E03A98" w:rsidRPr="006470DE" w:rsidP="00F465C9">
      <w:pPr>
        <w:suppressAutoHyphens/>
        <w:jc w:val="center"/>
        <w:rPr>
          <w:rStyle w:val="StyleRed"/>
        </w:rPr>
      </w:pPr>
      <w:r>
        <w:rPr>
          <w:rStyle w:val="StyleRed"/>
        </w:rPr>
        <w:t xml:space="preserve">November </w:t>
      </w:r>
      <w:r w:rsidR="00DF562C">
        <w:rPr>
          <w:rStyle w:val="StyleRed"/>
        </w:rPr>
        <w:t>20</w:t>
      </w:r>
      <w:r>
        <w:rPr>
          <w:rStyle w:val="StyleRed"/>
        </w:rPr>
        <w:t>, 2018</w:t>
      </w:r>
    </w:p>
    <w:p w:rsidR="00F465C9" w:rsidP="00F465C9">
      <w:pPr>
        <w:suppressAutoHyphens/>
        <w:jc w:val="center"/>
        <w:rPr>
          <w:szCs w:val="24"/>
        </w:rPr>
      </w:pPr>
    </w:p>
    <w:p w:rsidR="00DF562C" w:rsidP="00F465C9">
      <w:pPr>
        <w:suppressAutoHyphens/>
        <w:jc w:val="center"/>
        <w:rPr>
          <w:szCs w:val="24"/>
        </w:rPr>
      </w:pPr>
    </w:p>
    <w:p w:rsidR="00DF562C" w:rsidRPr="006470DE" w:rsidP="00F465C9">
      <w:pPr>
        <w:suppressAutoHyphens/>
        <w:jc w:val="center"/>
        <w:rPr>
          <w:szCs w:val="24"/>
        </w:rPr>
      </w:pPr>
    </w:p>
    <w:p w:rsidR="00C05D30" w:rsidRPr="006470DE" w:rsidP="00C05D30">
      <w:pPr>
        <w:widowControl/>
        <w:rPr>
          <w:szCs w:val="24"/>
        </w:rPr>
      </w:pPr>
      <w:r>
        <w:rPr>
          <w:rStyle w:val="bodytext0"/>
        </w:rPr>
        <w:t xml:space="preserve">Greg Lynn </w:t>
      </w:r>
      <w:r w:rsidR="00752531">
        <w:rPr>
          <w:rStyle w:val="bodytext0"/>
        </w:rPr>
        <w:t xml:space="preserve">and </w:t>
      </w:r>
      <w:r>
        <w:rPr>
          <w:rStyle w:val="bodytext0"/>
        </w:rPr>
        <w:t>Katherine Sweitzer</w:t>
      </w:r>
    </w:p>
    <w:p w:rsidR="00933D87" w:rsidRPr="006470DE" w:rsidP="006470DE">
      <w:pPr>
        <w:widowControl/>
        <w:rPr>
          <w:szCs w:val="24"/>
        </w:rPr>
      </w:pPr>
      <w:r>
        <w:rPr>
          <w:szCs w:val="24"/>
        </w:rPr>
        <w:t>Red Lion, Pennsylvania</w:t>
      </w:r>
      <w:r w:rsidRPr="006470DE" w:rsidR="00C05D30">
        <w:rPr>
          <w:szCs w:val="24"/>
        </w:rPr>
        <w:tab/>
      </w:r>
    </w:p>
    <w:p w:rsidR="00C05D30" w:rsidRPr="006470DE" w:rsidP="00A6203D">
      <w:pPr>
        <w:jc w:val="right"/>
        <w:rPr>
          <w:szCs w:val="24"/>
        </w:rPr>
      </w:pPr>
      <w:r w:rsidRPr="006470DE">
        <w:rPr>
          <w:szCs w:val="24"/>
        </w:rPr>
        <w:t xml:space="preserve">Case No.: </w:t>
      </w:r>
      <w:r w:rsidR="00C072CF">
        <w:rPr>
          <w:szCs w:val="24"/>
        </w:rPr>
        <w:t>EB-FIELDNER-18-00027995</w:t>
      </w:r>
    </w:p>
    <w:p w:rsidR="00673006" w:rsidP="00E03A98">
      <w:pPr>
        <w:widowControl/>
        <w:rPr>
          <w:b/>
          <w:szCs w:val="24"/>
        </w:rPr>
      </w:pPr>
    </w:p>
    <w:p w:rsidR="00DF562C" w:rsidRPr="006470DE" w:rsidP="00E03A98">
      <w:pPr>
        <w:widowControl/>
        <w:rPr>
          <w:b/>
          <w:szCs w:val="24"/>
        </w:rPr>
      </w:pPr>
    </w:p>
    <w:p w:rsidR="007E2682" w:rsidP="00B66F93">
      <w:pPr>
        <w:widowControl/>
        <w:jc w:val="center"/>
        <w:rPr>
          <w:b/>
          <w:szCs w:val="24"/>
        </w:rPr>
      </w:pPr>
      <w:r>
        <w:rPr>
          <w:b/>
          <w:szCs w:val="24"/>
        </w:rPr>
        <w:t xml:space="preserve">NOTICE OF UNLICENSED OPERATION AND  </w:t>
      </w:r>
    </w:p>
    <w:p w:rsidR="006C6C0D" w:rsidRPr="006470DE" w:rsidP="00B66F93">
      <w:pPr>
        <w:widowControl/>
        <w:jc w:val="center"/>
        <w:rPr>
          <w:szCs w:val="24"/>
        </w:rPr>
      </w:pPr>
      <w:r w:rsidRPr="006470DE">
        <w:rPr>
          <w:b/>
          <w:szCs w:val="24"/>
        </w:rPr>
        <w:t>NOTIFICATION OF HARMFUL INTERFERENCE</w:t>
      </w:r>
    </w:p>
    <w:p w:rsidR="006C6C0D" w:rsidRPr="006470DE" w:rsidP="00E50576">
      <w:pPr>
        <w:widowControl/>
        <w:tabs>
          <w:tab w:val="left" w:pos="5040"/>
        </w:tabs>
        <w:outlineLvl w:val="0"/>
        <w:rPr>
          <w:szCs w:val="24"/>
        </w:rPr>
      </w:pPr>
    </w:p>
    <w:p w:rsidR="00DD3865" w:rsidP="00B35CEC">
      <w:pPr>
        <w:widowControl/>
        <w:spacing w:after="240"/>
      </w:pPr>
      <w:r w:rsidRPr="006470DE">
        <w:rPr>
          <w:szCs w:val="24"/>
        </w:rPr>
        <w:t>On</w:t>
      </w:r>
      <w:r w:rsidRPr="006470DE" w:rsidR="007A77D6">
        <w:rPr>
          <w:szCs w:val="24"/>
        </w:rPr>
        <w:t xml:space="preserve"> </w:t>
      </w:r>
      <w:r w:rsidR="00C072CF">
        <w:rPr>
          <w:szCs w:val="24"/>
        </w:rPr>
        <w:t>October 30, 2018</w:t>
      </w:r>
      <w:r w:rsidRPr="006470DE">
        <w:rPr>
          <w:szCs w:val="24"/>
        </w:rPr>
        <w:t>, in response to a</w:t>
      </w:r>
      <w:r w:rsidRPr="006470DE" w:rsidR="00CD3114">
        <w:rPr>
          <w:szCs w:val="24"/>
        </w:rPr>
        <w:t>n interference</w:t>
      </w:r>
      <w:r w:rsidR="00B35CEC">
        <w:rPr>
          <w:szCs w:val="24"/>
        </w:rPr>
        <w:t xml:space="preserve"> complaint, A</w:t>
      </w:r>
      <w:r w:rsidRPr="006470DE">
        <w:rPr>
          <w:szCs w:val="24"/>
        </w:rPr>
        <w:t xml:space="preserve">gents from </w:t>
      </w:r>
      <w:r w:rsidR="006470DE">
        <w:rPr>
          <w:szCs w:val="24"/>
        </w:rPr>
        <w:t xml:space="preserve">the </w:t>
      </w:r>
      <w:r w:rsidR="00C072CF">
        <w:rPr>
          <w:szCs w:val="24"/>
        </w:rPr>
        <w:t>Columbia</w:t>
      </w:r>
      <w:r w:rsidR="006470DE">
        <w:rPr>
          <w:szCs w:val="24"/>
        </w:rPr>
        <w:t xml:space="preserve"> Office</w:t>
      </w:r>
      <w:r w:rsidRPr="006470DE" w:rsidR="00CD3114">
        <w:rPr>
          <w:szCs w:val="24"/>
        </w:rPr>
        <w:t xml:space="preserve"> </w:t>
      </w:r>
      <w:r w:rsidR="00B35CEC">
        <w:rPr>
          <w:szCs w:val="24"/>
        </w:rPr>
        <w:t xml:space="preserve">of the </w:t>
      </w:r>
      <w:r w:rsidR="00B35CEC">
        <w:t xml:space="preserve">Federal Communications Commission’s (FCC’s or Commission’s) Enforcement Bureau (Bureau) </w:t>
      </w:r>
      <w:r w:rsidRPr="006470DE" w:rsidR="00CD3114">
        <w:rPr>
          <w:szCs w:val="24"/>
        </w:rPr>
        <w:t>confirmed</w:t>
      </w:r>
      <w:r w:rsidR="006470DE">
        <w:rPr>
          <w:szCs w:val="24"/>
        </w:rPr>
        <w:t>,</w:t>
      </w:r>
      <w:r w:rsidRPr="006470DE" w:rsidR="00CD3114">
        <w:rPr>
          <w:szCs w:val="24"/>
        </w:rPr>
        <w:t xml:space="preserve"> by </w:t>
      </w:r>
      <w:r w:rsidRPr="006470DE">
        <w:rPr>
          <w:szCs w:val="24"/>
        </w:rPr>
        <w:t>direction finding techniques</w:t>
      </w:r>
      <w:r w:rsidR="006470DE">
        <w:rPr>
          <w:szCs w:val="24"/>
        </w:rPr>
        <w:t>,</w:t>
      </w:r>
      <w:r w:rsidRPr="006470DE">
        <w:rPr>
          <w:szCs w:val="24"/>
        </w:rPr>
        <w:t xml:space="preserve"> that radio emissions </w:t>
      </w:r>
      <w:r w:rsidRPr="006470DE" w:rsidR="00E02A29">
        <w:rPr>
          <w:szCs w:val="24"/>
        </w:rPr>
        <w:t>in the</w:t>
      </w:r>
      <w:r w:rsidRPr="006470DE">
        <w:rPr>
          <w:szCs w:val="24"/>
        </w:rPr>
        <w:t xml:space="preserve"> </w:t>
      </w:r>
      <w:r w:rsidR="00C072CF">
        <w:rPr>
          <w:szCs w:val="24"/>
        </w:rPr>
        <w:t>788-798</w:t>
      </w:r>
      <w:r w:rsidR="006470DE">
        <w:rPr>
          <w:szCs w:val="24"/>
        </w:rPr>
        <w:t> </w:t>
      </w:r>
      <w:r w:rsidRPr="006470DE" w:rsidR="00A6203D">
        <w:rPr>
          <w:szCs w:val="24"/>
        </w:rPr>
        <w:t>MHz</w:t>
      </w:r>
      <w:r w:rsidRPr="006470DE" w:rsidR="004F1DD0">
        <w:rPr>
          <w:szCs w:val="24"/>
        </w:rPr>
        <w:t xml:space="preserve"> band</w:t>
      </w:r>
      <w:r w:rsidRPr="006470DE">
        <w:rPr>
          <w:szCs w:val="24"/>
        </w:rPr>
        <w:t xml:space="preserve"> were emanating from </w:t>
      </w:r>
      <w:r w:rsidRPr="006470DE" w:rsidR="00CD3114">
        <w:rPr>
          <w:szCs w:val="24"/>
        </w:rPr>
        <w:t xml:space="preserve">a </w:t>
      </w:r>
      <w:r w:rsidRPr="006470DE">
        <w:rPr>
          <w:szCs w:val="24"/>
        </w:rPr>
        <w:t>radio transmitter device located</w:t>
      </w:r>
      <w:r w:rsidRPr="006470DE" w:rsidR="007A77D6">
        <w:rPr>
          <w:szCs w:val="24"/>
        </w:rPr>
        <w:t xml:space="preserve"> </w:t>
      </w:r>
      <w:r w:rsidR="00B35CEC">
        <w:rPr>
          <w:szCs w:val="24"/>
        </w:rPr>
        <w:t xml:space="preserve">on </w:t>
      </w:r>
      <w:r w:rsidR="00C072CF">
        <w:rPr>
          <w:szCs w:val="24"/>
        </w:rPr>
        <w:t>Weaver Lane in Red Lion, P</w:t>
      </w:r>
      <w:r w:rsidR="00B35CEC">
        <w:rPr>
          <w:szCs w:val="24"/>
        </w:rPr>
        <w:t xml:space="preserve">ennsylvania.  </w:t>
      </w:r>
      <w:r w:rsidRPr="006470DE">
        <w:rPr>
          <w:szCs w:val="24"/>
        </w:rPr>
        <w:t xml:space="preserve">These </w:t>
      </w:r>
      <w:r w:rsidR="00B35CEC">
        <w:rPr>
          <w:szCs w:val="24"/>
        </w:rPr>
        <w:t xml:space="preserve">emissions </w:t>
      </w:r>
      <w:r w:rsidRPr="006470DE">
        <w:rPr>
          <w:szCs w:val="24"/>
        </w:rPr>
        <w:t xml:space="preserve">were interfering with </w:t>
      </w:r>
      <w:r w:rsidR="00C072CF">
        <w:rPr>
          <w:szCs w:val="24"/>
        </w:rPr>
        <w:t xml:space="preserve">AT&amp;T’s uplink channel for </w:t>
      </w:r>
      <w:r w:rsidR="00752531">
        <w:rPr>
          <w:szCs w:val="24"/>
        </w:rPr>
        <w:t xml:space="preserve">its </w:t>
      </w:r>
      <w:r w:rsidR="00C072CF">
        <w:rPr>
          <w:szCs w:val="24"/>
        </w:rPr>
        <w:t>FirstNet</w:t>
      </w:r>
      <w:r w:rsidR="00B35CEC">
        <w:rPr>
          <w:szCs w:val="24"/>
        </w:rPr>
        <w:t xml:space="preserve"> system and were originating from your </w:t>
      </w:r>
      <w:r w:rsidR="00C072CF">
        <w:rPr>
          <w:szCs w:val="24"/>
        </w:rPr>
        <w:t>media streaming device</w:t>
      </w:r>
      <w:r w:rsidRPr="006470DE" w:rsidR="00CB501B">
        <w:rPr>
          <w:szCs w:val="24"/>
        </w:rPr>
        <w:t xml:space="preserve"> manufactured by </w:t>
      </w:r>
      <w:r w:rsidR="003A55AE">
        <w:rPr>
          <w:szCs w:val="24"/>
        </w:rPr>
        <w:t>MaggTV</w:t>
      </w:r>
      <w:r w:rsidRPr="006470DE" w:rsidR="00CB501B">
        <w:rPr>
          <w:szCs w:val="24"/>
        </w:rPr>
        <w:t>.</w:t>
      </w:r>
      <w:r w:rsidRPr="006470DE" w:rsidR="00587462">
        <w:rPr>
          <w:szCs w:val="24"/>
        </w:rPr>
        <w:t xml:space="preserve"> </w:t>
      </w:r>
      <w:r w:rsidRPr="006470DE" w:rsidR="00844AA4">
        <w:rPr>
          <w:szCs w:val="24"/>
        </w:rPr>
        <w:t xml:space="preserve"> </w:t>
      </w:r>
      <w:r w:rsidRPr="006470DE" w:rsidR="004E24C5">
        <w:rPr>
          <w:bCs/>
          <w:szCs w:val="24"/>
        </w:rPr>
        <w:t xml:space="preserve">Agents confirmed that interference to </w:t>
      </w:r>
      <w:r w:rsidR="00C072CF">
        <w:rPr>
          <w:bCs/>
          <w:szCs w:val="24"/>
        </w:rPr>
        <w:t>AT&amp;T</w:t>
      </w:r>
      <w:r w:rsidR="006470DE">
        <w:rPr>
          <w:bCs/>
          <w:szCs w:val="24"/>
        </w:rPr>
        <w:t xml:space="preserve"> </w:t>
      </w:r>
      <w:r w:rsidRPr="006470DE" w:rsidR="004E24C5">
        <w:rPr>
          <w:bCs/>
          <w:szCs w:val="24"/>
        </w:rPr>
        <w:t xml:space="preserve">ceased when your </w:t>
      </w:r>
      <w:r w:rsidR="00DE27B0">
        <w:rPr>
          <w:bCs/>
          <w:szCs w:val="24"/>
        </w:rPr>
        <w:t>device w</w:t>
      </w:r>
      <w:r w:rsidRPr="006470DE" w:rsidR="004E24C5">
        <w:rPr>
          <w:bCs/>
          <w:szCs w:val="24"/>
        </w:rPr>
        <w:t>as</w:t>
      </w:r>
      <w:r w:rsidRPr="006470DE" w:rsidR="00BC2C24">
        <w:rPr>
          <w:bCs/>
          <w:szCs w:val="24"/>
        </w:rPr>
        <w:t xml:space="preserve"> unplugged.</w:t>
      </w:r>
    </w:p>
    <w:p w:rsidR="00481756" w:rsidP="00481756">
      <w:pPr>
        <w:spacing w:after="240"/>
        <w:rPr>
          <w:sz w:val="22"/>
          <w:szCs w:val="22"/>
        </w:rPr>
      </w:pPr>
      <w:r w:rsidRPr="006470DE">
        <w:rPr>
          <w:szCs w:val="24"/>
        </w:rPr>
        <w:t xml:space="preserve">Radio stations operating on </w:t>
      </w:r>
      <w:r w:rsidR="00AD5FE9">
        <w:rPr>
          <w:szCs w:val="24"/>
        </w:rPr>
        <w:t>certain</w:t>
      </w:r>
      <w:r w:rsidRPr="006470DE">
        <w:rPr>
          <w:szCs w:val="24"/>
        </w:rPr>
        <w:t xml:space="preserve"> frequencies, including the </w:t>
      </w:r>
      <w:r w:rsidR="003A55AE">
        <w:rPr>
          <w:szCs w:val="24"/>
        </w:rPr>
        <w:t>700</w:t>
      </w:r>
      <w:r w:rsidR="006470DE">
        <w:rPr>
          <w:szCs w:val="24"/>
        </w:rPr>
        <w:t> </w:t>
      </w:r>
      <w:r w:rsidRPr="006470DE">
        <w:rPr>
          <w:szCs w:val="24"/>
        </w:rPr>
        <w:t xml:space="preserve">MHz band, must be licensed by the </w:t>
      </w:r>
      <w:r w:rsidR="006470DE">
        <w:rPr>
          <w:szCs w:val="24"/>
        </w:rPr>
        <w:t xml:space="preserve">Commission, </w:t>
      </w:r>
      <w:r w:rsidRPr="006470DE">
        <w:rPr>
          <w:szCs w:val="24"/>
        </w:rPr>
        <w:t>pursuant to the Communications Act of 1934, as amended</w:t>
      </w:r>
      <w:r w:rsidR="00DD3865">
        <w:rPr>
          <w:szCs w:val="24"/>
        </w:rPr>
        <w:t xml:space="preserve"> (Act)</w:t>
      </w:r>
      <w:r w:rsidRPr="006470DE">
        <w:rPr>
          <w:szCs w:val="24"/>
        </w:rPr>
        <w:t>.</w:t>
      </w:r>
      <w:r>
        <w:rPr>
          <w:rStyle w:val="FootnoteReference"/>
          <w:szCs w:val="24"/>
          <w:vertAlign w:val="superscript"/>
        </w:rPr>
        <w:footnoteReference w:id="2"/>
      </w:r>
      <w:r w:rsidRPr="006470DE">
        <w:rPr>
          <w:szCs w:val="24"/>
        </w:rPr>
        <w:t xml:space="preserve"> </w:t>
      </w:r>
      <w:r w:rsidR="006470DE">
        <w:rPr>
          <w:szCs w:val="24"/>
        </w:rPr>
        <w:t xml:space="preserve"> </w:t>
      </w:r>
      <w:r w:rsidRPr="006470DE">
        <w:rPr>
          <w:szCs w:val="24"/>
        </w:rPr>
        <w:t>The only exception to this licensing requirement is for certain transmitters using or operating at a power level or mode of operation that complies with the standards established in Part 15 of the Commission’s rules.</w:t>
      </w:r>
      <w:r>
        <w:rPr>
          <w:rStyle w:val="FootnoteReference"/>
          <w:szCs w:val="24"/>
          <w:vertAlign w:val="superscript"/>
        </w:rPr>
        <w:footnoteReference w:id="3"/>
      </w:r>
      <w:r w:rsidRPr="006470DE">
        <w:rPr>
          <w:szCs w:val="24"/>
        </w:rPr>
        <w:t xml:space="preserve"> </w:t>
      </w:r>
      <w:r>
        <w:rPr>
          <w:szCs w:val="24"/>
        </w:rPr>
        <w:t xml:space="preserve"> </w:t>
      </w:r>
    </w:p>
    <w:p w:rsidR="007E2682" w:rsidP="00DD3865">
      <w:pPr>
        <w:widowControl/>
        <w:spacing w:after="240"/>
        <w:rPr>
          <w:sz w:val="22"/>
          <w:szCs w:val="22"/>
        </w:rPr>
      </w:pPr>
      <w:r w:rsidRPr="006470DE">
        <w:rPr>
          <w:szCs w:val="24"/>
        </w:rPr>
        <w:t>Such nonlicensed operation, however, is conditioned upon compliance with all applicable regulations.</w:t>
      </w:r>
      <w:r>
        <w:rPr>
          <w:rStyle w:val="FootnoteReference"/>
          <w:szCs w:val="24"/>
          <w:vertAlign w:val="superscript"/>
        </w:rPr>
        <w:footnoteReference w:id="4"/>
      </w:r>
      <w:r w:rsidRPr="006470DE">
        <w:rPr>
          <w:szCs w:val="24"/>
        </w:rPr>
        <w:t xml:space="preserve">  </w:t>
      </w:r>
      <w:r w:rsidRPr="001C5FF8">
        <w:rPr>
          <w:sz w:val="22"/>
          <w:szCs w:val="22"/>
        </w:rPr>
        <w:t>All intentional radiators operating pursuant to Part 15 of the FCC’s rules must be certified for use as a Part 15 device</w:t>
      </w:r>
      <w:r>
        <w:rPr>
          <w:sz w:val="22"/>
          <w:szCs w:val="22"/>
        </w:rPr>
        <w:t>.</w:t>
      </w:r>
      <w:r>
        <w:rPr>
          <w:rStyle w:val="FootnoteReference"/>
          <w:sz w:val="22"/>
          <w:szCs w:val="22"/>
        </w:rPr>
        <w:footnoteReference w:id="5"/>
      </w:r>
      <w:r w:rsidRPr="001C5FF8">
        <w:rPr>
          <w:sz w:val="22"/>
          <w:szCs w:val="22"/>
        </w:rPr>
        <w:t xml:space="preserve"> </w:t>
      </w:r>
      <w:r>
        <w:rPr>
          <w:sz w:val="22"/>
          <w:szCs w:val="22"/>
        </w:rPr>
        <w:t xml:space="preserve"> Your MaggTV device did not have an FCC certification.  Accordingly, your operation of the MaggTV device is in violation of 47 U.S.C. § 301.   </w:t>
      </w:r>
    </w:p>
    <w:p w:rsidR="00DF562C" w:rsidP="00DF562C">
      <w:pPr>
        <w:spacing w:after="240"/>
        <w:rPr>
          <w:sz w:val="22"/>
          <w:szCs w:val="22"/>
        </w:rPr>
      </w:pPr>
    </w:p>
    <w:p w:rsidR="00DD3865" w:rsidP="00DF562C">
      <w:pPr>
        <w:spacing w:after="240"/>
      </w:pPr>
      <w:r w:rsidRPr="001C5FF8">
        <w:rPr>
          <w:sz w:val="22"/>
          <w:szCs w:val="22"/>
        </w:rPr>
        <w:t xml:space="preserve">Had the transmitter been certified for operation, additional conditions </w:t>
      </w:r>
      <w:r>
        <w:rPr>
          <w:sz w:val="22"/>
          <w:szCs w:val="22"/>
        </w:rPr>
        <w:t xml:space="preserve">would </w:t>
      </w:r>
      <w:r w:rsidRPr="001C5FF8">
        <w:rPr>
          <w:sz w:val="22"/>
          <w:szCs w:val="22"/>
        </w:rPr>
        <w:t xml:space="preserve">apply.  </w:t>
      </w:r>
      <w:r w:rsidRPr="006470DE" w:rsidR="00CD3114">
        <w:rPr>
          <w:szCs w:val="24"/>
        </w:rPr>
        <w:t>Under Section 15.5(b), nonlicensed operation of a radio transmitter is subject to the condition that it must not cause harmful interference and, if harmful interference occurs, operation of the device must cease.</w:t>
      </w:r>
      <w:r>
        <w:rPr>
          <w:rStyle w:val="FootnoteReference"/>
          <w:szCs w:val="24"/>
          <w:vertAlign w:val="superscript"/>
        </w:rPr>
        <w:footnoteReference w:id="6"/>
      </w:r>
      <w:r w:rsidRPr="006470DE" w:rsidR="00CD3114">
        <w:rPr>
          <w:szCs w:val="24"/>
        </w:rPr>
        <w:t xml:space="preserve">  Harmful interference is defined as “[a]ny emission, radiation or induction that endangers the functioning of a radio navigation service or of other safety services or seriously degrades, obstructs or repeatedly interrupts a radio communications service.”</w:t>
      </w:r>
      <w:r>
        <w:rPr>
          <w:rStyle w:val="FootnoteReference"/>
          <w:szCs w:val="24"/>
          <w:vertAlign w:val="superscript"/>
        </w:rPr>
        <w:footnoteReference w:id="7"/>
      </w:r>
      <w:r w:rsidRPr="006470DE" w:rsidR="00CD3114">
        <w:rPr>
          <w:szCs w:val="24"/>
        </w:rPr>
        <w:t xml:space="preserve">      </w:t>
      </w:r>
    </w:p>
    <w:p w:rsidR="00DD3865" w:rsidP="00DD3865">
      <w:pPr>
        <w:widowControl/>
        <w:spacing w:after="240"/>
      </w:pPr>
      <w:r w:rsidRPr="006470DE">
        <w:rPr>
          <w:szCs w:val="24"/>
        </w:rPr>
        <w:t>You are hereby notified, pursuant to Sections 15.5(c) of the Commission’s rules,</w:t>
      </w:r>
      <w:r>
        <w:rPr>
          <w:rStyle w:val="FootnoteReference"/>
          <w:szCs w:val="24"/>
          <w:vertAlign w:val="superscript"/>
        </w:rPr>
        <w:footnoteReference w:id="8"/>
      </w:r>
      <w:r w:rsidRPr="006470DE">
        <w:rPr>
          <w:szCs w:val="24"/>
          <w:vertAlign w:val="superscript"/>
        </w:rPr>
        <w:t xml:space="preserve"> </w:t>
      </w:r>
      <w:r w:rsidRPr="006470DE">
        <w:rPr>
          <w:szCs w:val="24"/>
        </w:rPr>
        <w:t xml:space="preserve"> that the </w:t>
      </w:r>
      <w:r w:rsidR="003A55AE">
        <w:rPr>
          <w:szCs w:val="24"/>
        </w:rPr>
        <w:t>MaggTV media streaming</w:t>
      </w:r>
      <w:r w:rsidRPr="006470DE">
        <w:rPr>
          <w:szCs w:val="24"/>
        </w:rPr>
        <w:t xml:space="preserve"> equipment was causing harmful interference to licensed communications.  Continued operation of this device in a manner that causes harmful interference after your receipt of this warning constitutes a violation of the Federal laws cited above and could subject the operator to severe penalties, including, but not limited to, substantial monetary fines, </w:t>
      </w:r>
      <w:r w:rsidRPr="006470DE">
        <w:rPr>
          <w:i/>
          <w:szCs w:val="24"/>
        </w:rPr>
        <w:t>in rem</w:t>
      </w:r>
      <w:r w:rsidRPr="006470DE">
        <w:rPr>
          <w:szCs w:val="24"/>
        </w:rPr>
        <w:t xml:space="preserve"> arrest action against the offending radio equipment, and criminal sanctions including imprisonment.</w:t>
      </w:r>
      <w:r>
        <w:rPr>
          <w:rStyle w:val="FootnoteReference"/>
          <w:szCs w:val="24"/>
          <w:vertAlign w:val="superscript"/>
        </w:rPr>
        <w:footnoteReference w:id="9"/>
      </w:r>
    </w:p>
    <w:p w:rsidR="00DD3865" w:rsidP="00DD3865">
      <w:pPr>
        <w:widowControl/>
        <w:spacing w:after="240"/>
      </w:pPr>
      <w:r w:rsidRPr="006470DE">
        <w:rPr>
          <w:b/>
          <w:szCs w:val="24"/>
          <w:u w:val="single"/>
        </w:rPr>
        <w:t xml:space="preserve">OPERATION OF THIS TRANSMITTING DEVICE MUST </w:t>
      </w:r>
      <w:r w:rsidR="006470DE">
        <w:rPr>
          <w:b/>
          <w:szCs w:val="24"/>
          <w:u w:val="single"/>
        </w:rPr>
        <w:t xml:space="preserve">CEASE IMMEDIATELY AND MUST NOT </w:t>
      </w:r>
      <w:r w:rsidRPr="006470DE">
        <w:rPr>
          <w:b/>
          <w:szCs w:val="24"/>
          <w:u w:val="single"/>
        </w:rPr>
        <w:t xml:space="preserve">RESUME </w:t>
      </w:r>
    </w:p>
    <w:p w:rsidR="00DD3865" w:rsidP="00DD3865">
      <w:pPr>
        <w:widowControl/>
        <w:spacing w:after="240"/>
      </w:pPr>
      <w:r w:rsidRPr="006470DE">
        <w:rPr>
          <w:szCs w:val="24"/>
        </w:rPr>
        <w:t xml:space="preserve">You have ten (10) days from the date of this notice to respond concerning your operation of this Part 15 device. </w:t>
      </w:r>
      <w:r w:rsidR="006470DE">
        <w:rPr>
          <w:szCs w:val="24"/>
        </w:rPr>
        <w:t xml:space="preserve"> </w:t>
      </w:r>
      <w:r w:rsidRPr="006470DE">
        <w:rPr>
          <w:szCs w:val="24"/>
        </w:rPr>
        <w:t xml:space="preserve">Your response should also describe the steps you are taking to ensure that your operation does not interfere with </w:t>
      </w:r>
      <w:r w:rsidR="003A55AE">
        <w:rPr>
          <w:szCs w:val="24"/>
        </w:rPr>
        <w:t>AT&amp;T</w:t>
      </w:r>
      <w:r w:rsidRPr="006470DE">
        <w:rPr>
          <w:szCs w:val="24"/>
        </w:rPr>
        <w:t>.  Your response should be sent to the address in the letterhead and reference the listed case number.  Under the Privacy Act of 1974,</w:t>
      </w:r>
      <w:r>
        <w:rPr>
          <w:rStyle w:val="FootnoteReference"/>
          <w:szCs w:val="24"/>
          <w:vertAlign w:val="superscript"/>
        </w:rPr>
        <w:footnoteReference w:id="10"/>
      </w:r>
      <w:r w:rsidRPr="006470DE">
        <w:rPr>
          <w:szCs w:val="24"/>
        </w:rPr>
        <w:t xml:space="preserve"> we are informing you that the Commission’s staff will use all relevant material information before it to determine what, if any, enforcement action is required to ensure your compliance with the Act and FCC rules.  This will include any information that you disclose in your reply.</w:t>
      </w:r>
    </w:p>
    <w:p w:rsidR="00CD3114" w:rsidRPr="00DD3865" w:rsidP="00DD3865">
      <w:pPr>
        <w:widowControl/>
        <w:spacing w:after="240"/>
      </w:pPr>
      <w:r w:rsidRPr="006470DE">
        <w:rPr>
          <w:szCs w:val="24"/>
        </w:rPr>
        <w:t>You may contact this office if you have any questions.</w:t>
      </w:r>
    </w:p>
    <w:p w:rsidR="00DD3865" w:rsidP="00CD3114">
      <w:pPr>
        <w:widowControl/>
      </w:pPr>
    </w:p>
    <w:p w:rsidR="00DD3865" w:rsidP="00CD3114">
      <w:pPr>
        <w:widowControl/>
      </w:pPr>
    </w:p>
    <w:p w:rsidR="00DD3865" w:rsidRPr="006470DE" w:rsidP="00CD3114">
      <w:pPr>
        <w:widowControl/>
      </w:pPr>
    </w:p>
    <w:p w:rsidR="00CD3114" w:rsidRPr="006470DE" w:rsidP="00CD3114">
      <w:pPr>
        <w:widowControl/>
      </w:pPr>
      <w:r>
        <w:t>David C. Dombrowski</w:t>
      </w:r>
    </w:p>
    <w:p w:rsidR="00CD3114" w:rsidRPr="006470DE" w:rsidP="00CD3114">
      <w:pPr>
        <w:widowControl/>
      </w:pPr>
      <w:r w:rsidRPr="006470DE">
        <w:t>Regional Director</w:t>
      </w:r>
    </w:p>
    <w:p w:rsidR="00CD3114" w:rsidRPr="006470DE" w:rsidP="00CD3114">
      <w:pPr>
        <w:widowControl/>
      </w:pPr>
      <w:r w:rsidRPr="006470DE">
        <w:t xml:space="preserve">Region </w:t>
      </w:r>
      <w:r w:rsidR="003A55AE">
        <w:t xml:space="preserve">One </w:t>
      </w:r>
    </w:p>
    <w:p w:rsidR="00CD3114" w:rsidRPr="006470DE" w:rsidP="00CD3114">
      <w:pPr>
        <w:widowControl/>
      </w:pPr>
      <w:r w:rsidRPr="006470DE">
        <w:t>Enforcement Bureau</w:t>
      </w:r>
    </w:p>
    <w:p w:rsidR="00CD3114" w:rsidRPr="006470DE" w:rsidP="00CD3114">
      <w:pPr>
        <w:widowControl/>
      </w:pPr>
      <w:r w:rsidRPr="006470DE">
        <w:t>Federal Communications Commission</w:t>
      </w:r>
    </w:p>
    <w:p w:rsidR="00CD3114" w:rsidRPr="006470DE" w:rsidP="00CD3114">
      <w:pPr>
        <w:suppressAutoHyphens/>
        <w:rPr>
          <w:szCs w:val="24"/>
        </w:rPr>
      </w:pPr>
    </w:p>
    <w:p w:rsidR="00CD3114" w:rsidRPr="006470DE" w:rsidP="00CD3114">
      <w:pPr>
        <w:suppressAutoHyphens/>
        <w:rPr>
          <w:szCs w:val="24"/>
        </w:rPr>
      </w:pPr>
    </w:p>
    <w:sectPr w:rsidSect="000F638E">
      <w:headerReference w:type="even" r:id="rId6"/>
      <w:headerReference w:type="default" r:id="rId7"/>
      <w:footerReference w:type="even" r:id="rId8"/>
      <w:footerReference w:type="default" r:id="rId9"/>
      <w:headerReference w:type="first" r:id="rId10"/>
      <w:footerReference w:type="first" r:id="rId11"/>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D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D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6DB4">
      <w:r>
        <w:separator/>
      </w:r>
    </w:p>
  </w:footnote>
  <w:footnote w:type="continuationSeparator" w:id="1">
    <w:p w:rsidR="00666DB4">
      <w:r>
        <w:continuationSeparator/>
      </w:r>
    </w:p>
  </w:footnote>
  <w:footnote w:id="2">
    <w:p w:rsidR="00CD3114" w:rsidP="00CD3114">
      <w:pPr>
        <w:pStyle w:val="FootnoteText"/>
        <w:spacing w:after="120"/>
      </w:pPr>
      <w:r w:rsidRPr="00596C92">
        <w:rPr>
          <w:rStyle w:val="FootnoteReference"/>
          <w:vertAlign w:val="superscript"/>
        </w:rPr>
        <w:footnoteRef/>
      </w:r>
      <w:r w:rsidRPr="00596C92">
        <w:rPr>
          <w:vertAlign w:val="superscript"/>
        </w:rPr>
        <w:t xml:space="preserve"> </w:t>
      </w:r>
      <w:r w:rsidRPr="00491829">
        <w:rPr>
          <w:szCs w:val="24"/>
        </w:rPr>
        <w:t xml:space="preserve">47 U.S.C. § 301.  </w:t>
      </w:r>
    </w:p>
  </w:footnote>
  <w:footnote w:id="3">
    <w:p w:rsidR="00CD3114" w:rsidP="00CD3114">
      <w:pPr>
        <w:pStyle w:val="FootnoteText"/>
        <w:spacing w:after="120"/>
      </w:pPr>
      <w:r w:rsidRPr="00596C92">
        <w:rPr>
          <w:rStyle w:val="FootnoteReference"/>
          <w:vertAlign w:val="superscript"/>
        </w:rPr>
        <w:footnoteRef/>
      </w:r>
      <w:r>
        <w:t xml:space="preserve"> </w:t>
      </w:r>
      <w:r w:rsidRPr="00491829">
        <w:rPr>
          <w:szCs w:val="24"/>
        </w:rPr>
        <w:t>47 CFR §§ 15.1</w:t>
      </w:r>
      <w:r w:rsidR="006470DE">
        <w:rPr>
          <w:szCs w:val="24"/>
        </w:rPr>
        <w:t>,</w:t>
      </w:r>
      <w:r w:rsidRPr="00491829">
        <w:rPr>
          <w:szCs w:val="24"/>
        </w:rPr>
        <w:t xml:space="preserve"> </w:t>
      </w:r>
      <w:r w:rsidRPr="00491829">
        <w:rPr>
          <w:i/>
          <w:szCs w:val="24"/>
        </w:rPr>
        <w:t>et seq</w:t>
      </w:r>
      <w:r w:rsidRPr="00491829">
        <w:rPr>
          <w:szCs w:val="24"/>
        </w:rPr>
        <w:t>.</w:t>
      </w:r>
      <w:r>
        <w:rPr>
          <w:szCs w:val="24"/>
        </w:rPr>
        <w:t xml:space="preserve">  </w:t>
      </w:r>
    </w:p>
  </w:footnote>
  <w:footnote w:id="4">
    <w:p w:rsidR="00CD3114" w:rsidP="00CD3114">
      <w:pPr>
        <w:pStyle w:val="FootnoteText"/>
        <w:spacing w:after="120"/>
      </w:pPr>
      <w:r w:rsidRPr="00596C92">
        <w:rPr>
          <w:rStyle w:val="FootnoteReference"/>
          <w:vertAlign w:val="superscript"/>
        </w:rPr>
        <w:footnoteRef/>
      </w:r>
      <w:r>
        <w:t xml:space="preserve"> </w:t>
      </w:r>
      <w:r w:rsidRPr="00491829">
        <w:rPr>
          <w:szCs w:val="24"/>
        </w:rPr>
        <w:t>47 CFR § 15.1(b).</w:t>
      </w:r>
    </w:p>
  </w:footnote>
  <w:footnote w:id="5">
    <w:p w:rsidR="007E2682" w:rsidP="007E2682">
      <w:pPr>
        <w:pStyle w:val="FootnoteText"/>
        <w:spacing w:after="120"/>
      </w:pPr>
      <w:r w:rsidRPr="00360AA1">
        <w:rPr>
          <w:rStyle w:val="FootnoteReference"/>
          <w:vertAlign w:val="superscript"/>
        </w:rPr>
        <w:footnoteRef/>
      </w:r>
      <w:bookmarkStart w:id="0" w:name="_GoBack"/>
      <w:bookmarkEnd w:id="0"/>
      <w:r>
        <w:t xml:space="preserve"> 47 CFR § 15.201(b).</w:t>
      </w:r>
    </w:p>
  </w:footnote>
  <w:footnote w:id="6">
    <w:p w:rsidR="00CD3114" w:rsidP="00CD3114">
      <w:pPr>
        <w:pStyle w:val="FootnoteText"/>
        <w:spacing w:after="120"/>
      </w:pPr>
      <w:r w:rsidRPr="00596C92">
        <w:rPr>
          <w:rStyle w:val="FootnoteReference"/>
          <w:vertAlign w:val="superscript"/>
        </w:rPr>
        <w:footnoteRef/>
      </w:r>
      <w:r w:rsidRPr="00596C92">
        <w:rPr>
          <w:vertAlign w:val="superscript"/>
        </w:rPr>
        <w:t xml:space="preserve"> </w:t>
      </w:r>
      <w:r w:rsidRPr="00491829">
        <w:rPr>
          <w:szCs w:val="24"/>
        </w:rPr>
        <w:t>47 CFR § 15.5</w:t>
      </w:r>
      <w:r>
        <w:rPr>
          <w:szCs w:val="24"/>
        </w:rPr>
        <w:t>(b)</w:t>
      </w:r>
      <w:r w:rsidRPr="00491829">
        <w:rPr>
          <w:szCs w:val="24"/>
        </w:rPr>
        <w:t xml:space="preserve">.  </w:t>
      </w:r>
    </w:p>
  </w:footnote>
  <w:footnote w:id="7">
    <w:p w:rsidR="00CD3114" w:rsidP="00CD3114">
      <w:pPr>
        <w:pStyle w:val="FootnoteText"/>
        <w:spacing w:after="120"/>
      </w:pPr>
      <w:r w:rsidRPr="00596C92">
        <w:rPr>
          <w:rStyle w:val="FootnoteReference"/>
          <w:vertAlign w:val="superscript"/>
        </w:rPr>
        <w:footnoteRef/>
      </w:r>
      <w:r w:rsidRPr="00596C92">
        <w:rPr>
          <w:vertAlign w:val="superscript"/>
        </w:rPr>
        <w:t xml:space="preserve"> </w:t>
      </w:r>
      <w:r w:rsidRPr="00491829">
        <w:rPr>
          <w:szCs w:val="24"/>
        </w:rPr>
        <w:t>47</w:t>
      </w:r>
      <w:r>
        <w:rPr>
          <w:szCs w:val="24"/>
        </w:rPr>
        <w:t xml:space="preserve"> </w:t>
      </w:r>
      <w:r w:rsidRPr="00491829">
        <w:rPr>
          <w:szCs w:val="24"/>
        </w:rPr>
        <w:t>CFR § 15.3(m).</w:t>
      </w:r>
    </w:p>
  </w:footnote>
  <w:footnote w:id="8">
    <w:p w:rsidR="00CD3114" w:rsidP="00CD3114">
      <w:pPr>
        <w:pStyle w:val="FootnoteText"/>
        <w:spacing w:after="120"/>
      </w:pPr>
      <w:r w:rsidRPr="00596C92">
        <w:rPr>
          <w:rStyle w:val="FootnoteReference"/>
          <w:vertAlign w:val="superscript"/>
        </w:rPr>
        <w:footnoteRef/>
      </w:r>
      <w:r>
        <w:t xml:space="preserve"> </w:t>
      </w:r>
      <w:r>
        <w:rPr>
          <w:color w:val="000000"/>
          <w:szCs w:val="24"/>
        </w:rPr>
        <w:t>47 CFR § 15.5(c)</w:t>
      </w:r>
    </w:p>
  </w:footnote>
  <w:footnote w:id="9">
    <w:p w:rsidR="00CD3114" w:rsidP="00CD3114">
      <w:pPr>
        <w:pStyle w:val="FootnoteText"/>
        <w:spacing w:after="120"/>
      </w:pPr>
      <w:r w:rsidRPr="00596C92">
        <w:rPr>
          <w:rStyle w:val="FootnoteReference"/>
          <w:vertAlign w:val="superscript"/>
        </w:rPr>
        <w:footnoteRef/>
      </w:r>
      <w:r w:rsidRPr="00596C92">
        <w:rPr>
          <w:vertAlign w:val="superscript"/>
        </w:rPr>
        <w:t xml:space="preserve"> </w:t>
      </w:r>
      <w:r w:rsidRPr="00F655C8">
        <w:rPr>
          <w:i/>
        </w:rPr>
        <w:t xml:space="preserve">See </w:t>
      </w:r>
      <w:r w:rsidRPr="00F655C8">
        <w:t>47 U.S.C. §§ 401, 501, 503 and 510.</w:t>
      </w:r>
    </w:p>
  </w:footnote>
  <w:footnote w:id="10">
    <w:p w:rsidR="00CD3114" w:rsidRPr="00DB4DCD" w:rsidP="00CD3114">
      <w:pPr>
        <w:pStyle w:val="FootnoteText"/>
        <w:spacing w:after="120"/>
        <w:rPr>
          <w:lang w:val="es-ES"/>
        </w:rPr>
      </w:pPr>
      <w:r w:rsidRPr="003613FD">
        <w:rPr>
          <w:rStyle w:val="FootnoteReference"/>
          <w:vertAlign w:val="superscript"/>
        </w:rPr>
        <w:footnoteRef/>
      </w:r>
      <w:r w:rsidRPr="00DB4DCD">
        <w:rPr>
          <w:lang w:val="es-ES"/>
        </w:rPr>
        <w:t xml:space="preserve"> 5 U.S.C. § 552a(e)(3).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D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2797">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4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aliases w:val="Footnote Text Char,Footnote Text Char Char Char,Footnote Text Char Char Char Char Char,Footnote Text Char1,Footnote Text Char1 Char,Footnote Text Char1 Char Char Char,Footnote Text Char1 Char Char Char Char Char,rrfootnote Char Char Char"/>
    <w:basedOn w:val="Normal"/>
    <w:link w:val="FootnoteTextChar2"/>
    <w:uiPriority w:val="99"/>
    <w:semiHidden/>
    <w:rsid w:val="00663A30"/>
    <w:pPr>
      <w:widowControl/>
    </w:pPr>
    <w:rPr>
      <w:snapToGrid/>
      <w:sz w:val="20"/>
    </w:rPr>
  </w:style>
  <w:style w:type="character" w:styleId="Hyperlink">
    <w:name w:val="Hyperlink"/>
    <w:uiPriority w:val="99"/>
    <w:semiHidden/>
    <w:unhideWhenUsed/>
    <w:rsid w:val="005C07C2"/>
    <w:rPr>
      <w:color w:val="0000FF"/>
      <w:u w:val="single"/>
    </w:rPr>
  </w:style>
  <w:style w:type="character" w:customStyle="1" w:styleId="searchterm">
    <w:name w:val="searchterm"/>
    <w:basedOn w:val="DefaultParagraphFont"/>
    <w:rsid w:val="005C07C2"/>
  </w:style>
  <w:style w:type="character" w:customStyle="1" w:styleId="FootnoteTextChar2">
    <w:name w:val="Footnote Text Char2"/>
    <w:aliases w:val="Footnote Text Char Char,Footnote Text Char Char Char Char,Footnote Text Char Char Char Char Char Char,Footnote Text Char1 Char Char,Footnote Text Char1 Char Char Char Char,Footnote Text Char1 Char1,rrfootnote Char Char Char Char"/>
    <w:basedOn w:val="DefaultParagraphFont"/>
    <w:link w:val="FootnoteText"/>
    <w:rsid w:val="002A2CB7"/>
  </w:style>
  <w:style w:type="paragraph" w:styleId="BodyText3">
    <w:name w:val="Body Text 3"/>
    <w:basedOn w:val="Normal"/>
    <w:link w:val="BodyText3Char"/>
    <w:uiPriority w:val="99"/>
    <w:unhideWhenUsed/>
    <w:rsid w:val="00C37332"/>
    <w:pPr>
      <w:spacing w:after="120"/>
    </w:pPr>
    <w:rPr>
      <w:sz w:val="16"/>
      <w:szCs w:val="16"/>
    </w:rPr>
  </w:style>
  <w:style w:type="character" w:customStyle="1" w:styleId="BodyText3Char">
    <w:name w:val="Body Text 3 Char"/>
    <w:link w:val="BodyText3"/>
    <w:uiPriority w:val="99"/>
    <w:rsid w:val="00C37332"/>
    <w:rPr>
      <w:snapToGrid w:val="0"/>
      <w:sz w:val="16"/>
      <w:szCs w:val="16"/>
    </w:rPr>
  </w:style>
  <w:style w:type="character" w:styleId="CommentReference">
    <w:name w:val="annotation reference"/>
    <w:semiHidden/>
    <w:rsid w:val="00301C24"/>
    <w:rPr>
      <w:sz w:val="16"/>
      <w:szCs w:val="16"/>
    </w:rPr>
  </w:style>
  <w:style w:type="paragraph" w:styleId="CommentText">
    <w:name w:val="annotation text"/>
    <w:basedOn w:val="Normal"/>
    <w:semiHidden/>
    <w:rsid w:val="00301C24"/>
    <w:rPr>
      <w:sz w:val="20"/>
    </w:rPr>
  </w:style>
  <w:style w:type="paragraph" w:styleId="CommentSubject">
    <w:name w:val="annotation subject"/>
    <w:basedOn w:val="CommentText"/>
    <w:next w:val="CommentText"/>
    <w:semiHidden/>
    <w:rsid w:val="00301C24"/>
    <w:rPr>
      <w:b/>
      <w:bCs/>
    </w:rPr>
  </w:style>
  <w:style w:type="paragraph" w:styleId="BalloonText">
    <w:name w:val="Balloon Text"/>
    <w:basedOn w:val="Normal"/>
    <w:semiHidden/>
    <w:rsid w:val="00301C24"/>
    <w:rPr>
      <w:rFonts w:ascii="Tahoma" w:hAnsi="Tahoma" w:cs="Tahoma"/>
      <w:sz w:val="16"/>
      <w:szCs w:val="16"/>
    </w:rPr>
  </w:style>
  <w:style w:type="paragraph" w:customStyle="1" w:styleId="StyleHeaderRed">
    <w:name w:val="Style Header + Red"/>
    <w:basedOn w:val="Header"/>
    <w:rsid w:val="00CB257E"/>
  </w:style>
  <w:style w:type="character" w:customStyle="1" w:styleId="StyleRed">
    <w:name w:val="Style Red"/>
    <w:rsid w:val="00CB257E"/>
    <w:rPr>
      <w:color w:val="auto"/>
    </w:rPr>
  </w:style>
  <w:style w:type="paragraph" w:customStyle="1" w:styleId="InsideAddressName">
    <w:name w:val="Inside Address Name"/>
    <w:basedOn w:val="Normal"/>
    <w:next w:val="Normal"/>
    <w:rsid w:val="00C05D30"/>
    <w:pPr>
      <w:widowControl/>
      <w:spacing w:before="220" w:line="240" w:lineRule="atLeast"/>
      <w:jc w:val="both"/>
    </w:pPr>
    <w:rPr>
      <w:rFonts w:ascii="Garamond" w:hAnsi="Garamond"/>
      <w:snapToGrid/>
      <w:kern w:val="18"/>
      <w:sz w:val="20"/>
    </w:rPr>
  </w:style>
  <w:style w:type="character" w:customStyle="1" w:styleId="bodytext0">
    <w:name w:val="bodytext"/>
    <w:basedOn w:val="DefaultParagraphFont"/>
    <w:rsid w:val="00A62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