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VERIZON NEW YORK INC.</w:t>
      </w:r>
    </w:p>
    <w:p w:rsidR="00AC191A" w:rsidP="00AC191A">
      <w:pPr>
        <w:pStyle w:val="Title"/>
        <w:jc w:val="left"/>
        <w:rPr>
          <w:szCs w:val="22"/>
        </w:rPr>
      </w:pPr>
    </w:p>
    <w:p w:rsidR="00BB6E7C" w:rsidP="00585588">
      <w:pPr>
        <w:pStyle w:val="Title"/>
        <w:jc w:val="left"/>
        <w:rPr>
          <w:szCs w:val="22"/>
        </w:rPr>
      </w:pPr>
      <w:r>
        <w:rPr>
          <w:szCs w:val="22"/>
        </w:rPr>
        <w:t>WC Docket No. 18-</w:t>
      </w:r>
      <w:r w:rsidR="007F1F74">
        <w:rPr>
          <w:szCs w:val="22"/>
        </w:rPr>
        <w:t>362</w:t>
      </w:r>
      <w:r>
        <w:rPr>
          <w:szCs w:val="22"/>
        </w:rPr>
        <w:tab/>
      </w:r>
      <w:r>
        <w:rPr>
          <w:szCs w:val="22"/>
        </w:rPr>
        <w:tab/>
      </w:r>
      <w:r>
        <w:rPr>
          <w:szCs w:val="22"/>
        </w:rPr>
        <w:tab/>
      </w:r>
      <w:r>
        <w:rPr>
          <w:szCs w:val="22"/>
        </w:rPr>
        <w:tab/>
      </w:r>
      <w:r>
        <w:rPr>
          <w:szCs w:val="22"/>
        </w:rPr>
        <w:tab/>
        <w:t xml:space="preserve">        </w:t>
      </w:r>
      <w:r w:rsidR="00532AA9">
        <w:rPr>
          <w:szCs w:val="22"/>
        </w:rPr>
        <w:t xml:space="preserve">December </w:t>
      </w:r>
      <w:r w:rsidR="00B57F5A">
        <w:rPr>
          <w:szCs w:val="22"/>
        </w:rPr>
        <w:t>7</w:t>
      </w:r>
      <w:r>
        <w:rPr>
          <w:szCs w:val="22"/>
        </w:rPr>
        <w:t>, 2018</w:t>
      </w:r>
    </w:p>
    <w:p w:rsidR="008961DF" w:rsidP="00585588">
      <w:pPr>
        <w:pStyle w:val="Title"/>
        <w:jc w:val="left"/>
        <w:rPr>
          <w:szCs w:val="22"/>
        </w:rPr>
      </w:pPr>
      <w:r w:rsidRPr="00F046EC">
        <w:rPr>
          <w:szCs w:val="22"/>
        </w:rPr>
        <w:t>Report No</w:t>
      </w:r>
      <w:r w:rsidR="00347925">
        <w:rPr>
          <w:szCs w:val="22"/>
        </w:rPr>
        <w:t>s</w:t>
      </w:r>
      <w:r w:rsidRPr="00F046EC">
        <w:rPr>
          <w:szCs w:val="22"/>
        </w:rPr>
        <w:t xml:space="preserve">. </w:t>
      </w:r>
      <w:r>
        <w:rPr>
          <w:szCs w:val="22"/>
        </w:rPr>
        <w:t>NCD-2</w:t>
      </w:r>
      <w:r w:rsidR="00B57F5A">
        <w:rPr>
          <w:szCs w:val="22"/>
        </w:rPr>
        <w:t>8</w:t>
      </w:r>
      <w:r w:rsidR="002C5D84">
        <w:rPr>
          <w:szCs w:val="22"/>
        </w:rPr>
        <w:t>16 &amp; NCD-2878</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B2433C">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r w:rsidR="00B2433C">
        <w:rPr>
          <w:szCs w:val="22"/>
        </w:rPr>
        <w:t xml:space="preserve">; </w:t>
      </w:r>
      <w:r w:rsidR="00B2433C">
        <w:rPr>
          <w:szCs w:val="22"/>
        </w:rPr>
        <w:t>WITHDRAWAL &amp; REPLAC</w:t>
      </w:r>
      <w:r w:rsidR="00CD4097">
        <w:rPr>
          <w:szCs w:val="22"/>
        </w:rPr>
        <w:t>E</w:t>
      </w:r>
      <w:r w:rsidR="00B2433C">
        <w:rPr>
          <w:szCs w:val="22"/>
        </w:rPr>
        <w:t>MENT OF NOTICE IN NCD-28</w:t>
      </w:r>
      <w:r w:rsidR="00B2433C">
        <w:rPr>
          <w:szCs w:val="22"/>
        </w:rPr>
        <w:t>16</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Verizon New York Inc. (Verizon)</w:t>
      </w:r>
      <w:r w:rsidRPr="009C555B">
        <w:rPr>
          <w:szCs w:val="22"/>
        </w:rPr>
        <w:t xml:space="preserve">, an incumbent local exchange carrier (LEC), </w:t>
      </w:r>
      <w:r w:rsidRPr="00F046EC">
        <w:rPr>
          <w:szCs w:val="22"/>
        </w:rPr>
        <w:t xml:space="preserve">has filed certification that </w:t>
      </w:r>
      <w:r>
        <w:rPr>
          <w:szCs w:val="22"/>
        </w:rPr>
        <w:t xml:space="preserve">public notice of network change(s) </w:t>
      </w:r>
      <w:r w:rsidRPr="00804C85">
        <w:rPr>
          <w:szCs w:val="22"/>
        </w:rPr>
        <w:t>involving the retirement of copper</w:t>
      </w:r>
      <w:r>
        <w:rPr>
          <w:szCs w:val="22"/>
        </w:rPr>
        <w:t xml:space="preserve"> has been provided through its publicly accessible Internet site, as required by section 51.329(a) of the rules of the Federal Communications Commission (FCC or Commission), together with certification of service on identified interconnecting telephone exchange service providers, as required by section 51.333(a).</w:t>
      </w:r>
      <w:r>
        <w:rPr>
          <w:rStyle w:val="FootnoteReference"/>
          <w:szCs w:val="22"/>
        </w:rPr>
        <w:footnoteReference w:id="2"/>
      </w:r>
      <w:r>
        <w:rPr>
          <w:szCs w:val="22"/>
        </w:rPr>
        <w:t xml:space="preserve">  </w:t>
      </w:r>
      <w:r w:rsidRPr="009C555B">
        <w:rPr>
          <w:szCs w:val="22"/>
        </w:rPr>
        <w:t>Upon initial review the filing appears to be complete.</w:t>
      </w:r>
      <w:r>
        <w:rPr>
          <w:rStyle w:val="FootnoteReference"/>
          <w:szCs w:val="22"/>
        </w:rPr>
        <w:footnoteReference w:id="3"/>
      </w:r>
      <w:r>
        <w:rPr>
          <w:szCs w:val="22"/>
        </w:rPr>
        <w:t xml:space="preserve">  </w:t>
      </w:r>
      <w:r w:rsidRPr="00E25608">
        <w:rPr>
          <w:szCs w:val="22"/>
        </w:rPr>
        <w:t xml:space="preserve">Specific network change information can be obtained on the Internet at:  </w:t>
      </w:r>
      <w:r>
        <w:fldChar w:fldCharType="begin"/>
      </w:r>
      <w:r>
        <w:instrText xml:space="preserve"> HYPERLINK "http://www.verizon.com/about/terms-conditions/network-disclosures" </w:instrText>
      </w:r>
      <w:r>
        <w:fldChar w:fldCharType="separate"/>
      </w:r>
      <w:r w:rsidRPr="00C73486">
        <w:rPr>
          <w:rStyle w:val="Hyperlink"/>
          <w:szCs w:val="22"/>
        </w:rPr>
        <w:t>http://www.verizon.com/about/terms-conditions/network-disclosures</w:t>
      </w:r>
      <w:r>
        <w:fldChar w:fldCharType="end"/>
      </w:r>
      <w:r>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A65AF" w:rsidP="00CA65A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530"/>
        <w:gridCol w:w="4410"/>
        <w:gridCol w:w="1800"/>
      </w:tblGrid>
      <w:tr w:rsidTr="00D55269">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620" w:type="dxa"/>
          </w:tcPr>
          <w:p w:rsidR="00CA65AF" w:rsidRPr="007E723C" w:rsidP="009206C3">
            <w:pPr>
              <w:tabs>
                <w:tab w:val="left" w:pos="0"/>
              </w:tabs>
              <w:suppressAutoHyphens/>
              <w:rPr>
                <w:b/>
                <w:szCs w:val="22"/>
              </w:rPr>
            </w:pPr>
            <w:r>
              <w:rPr>
                <w:b/>
                <w:szCs w:val="22"/>
              </w:rPr>
              <w:t>Refiled Copper Retirement ID No.</w:t>
            </w:r>
          </w:p>
        </w:tc>
        <w:tc>
          <w:tcPr>
            <w:tcW w:w="153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4410" w:type="dxa"/>
            <w:shd w:val="clear" w:color="auto" w:fill="auto"/>
          </w:tcPr>
          <w:p w:rsidR="00CA65AF" w:rsidRPr="007E723C" w:rsidP="009206C3">
            <w:pPr>
              <w:tabs>
                <w:tab w:val="left" w:pos="0"/>
              </w:tabs>
              <w:suppressAutoHyphens/>
              <w:rPr>
                <w:b/>
                <w:szCs w:val="22"/>
              </w:rPr>
            </w:pPr>
            <w:r>
              <w:rPr>
                <w:b/>
                <w:szCs w:val="22"/>
              </w:rPr>
              <w:t>Location of Change(s)</w:t>
            </w:r>
          </w:p>
        </w:tc>
        <w:tc>
          <w:tcPr>
            <w:tcW w:w="1800" w:type="dxa"/>
            <w:shd w:val="clear" w:color="auto" w:fill="auto"/>
          </w:tcPr>
          <w:p w:rsidR="00CA65AF" w:rsidRPr="007E723C" w:rsidP="009206C3">
            <w:pPr>
              <w:tabs>
                <w:tab w:val="left" w:pos="0"/>
              </w:tabs>
              <w:suppressAutoHyphens/>
              <w:rPr>
                <w:b/>
                <w:szCs w:val="22"/>
              </w:rPr>
            </w:pPr>
            <w:r>
              <w:rPr>
                <w:b/>
                <w:szCs w:val="22"/>
              </w:rPr>
              <w:t xml:space="preserve">Planned </w:t>
            </w:r>
            <w:r w:rsidRPr="007E723C">
              <w:rPr>
                <w:b/>
                <w:szCs w:val="22"/>
              </w:rPr>
              <w:t>Implementation Date(s)</w:t>
            </w:r>
          </w:p>
        </w:tc>
      </w:tr>
      <w:tr w:rsidTr="00D55269">
        <w:tblPrEx>
          <w:tblW w:w="9360" w:type="dxa"/>
          <w:tblInd w:w="108" w:type="dxa"/>
          <w:tblLayout w:type="fixed"/>
          <w:tblLook w:val="01E0"/>
        </w:tblPrEx>
        <w:tc>
          <w:tcPr>
            <w:tcW w:w="1620" w:type="dxa"/>
          </w:tcPr>
          <w:p w:rsidR="00CA65AF" w:rsidRPr="00E13AE3" w:rsidP="009206C3">
            <w:pPr>
              <w:autoSpaceDE w:val="0"/>
              <w:autoSpaceDN w:val="0"/>
              <w:adjustRightInd w:val="0"/>
              <w:rPr>
                <w:bCs/>
                <w:szCs w:val="22"/>
              </w:rPr>
            </w:pPr>
            <w:r>
              <w:rPr>
                <w:bCs/>
                <w:szCs w:val="22"/>
              </w:rPr>
              <w:t>201</w:t>
            </w:r>
            <w:r w:rsidR="00FE4396">
              <w:rPr>
                <w:bCs/>
                <w:szCs w:val="22"/>
              </w:rPr>
              <w:t>8</w:t>
            </w:r>
            <w:r w:rsidRPr="00A549C7">
              <w:rPr>
                <w:bCs/>
                <w:szCs w:val="22"/>
              </w:rPr>
              <w:t>-0</w:t>
            </w:r>
            <w:r w:rsidR="009D07FA">
              <w:rPr>
                <w:bCs/>
                <w:szCs w:val="22"/>
              </w:rPr>
              <w:t>1</w:t>
            </w:r>
            <w:r w:rsidRPr="00A549C7">
              <w:rPr>
                <w:bCs/>
                <w:szCs w:val="22"/>
              </w:rPr>
              <w:t>-A-</w:t>
            </w:r>
            <w:r>
              <w:rPr>
                <w:bCs/>
                <w:szCs w:val="22"/>
              </w:rPr>
              <w:t>NY</w:t>
            </w:r>
          </w:p>
        </w:tc>
        <w:tc>
          <w:tcPr>
            <w:tcW w:w="1530" w:type="dxa"/>
            <w:shd w:val="clear" w:color="auto" w:fill="auto"/>
          </w:tcPr>
          <w:p w:rsidR="00CA65AF" w:rsidRPr="0081179F" w:rsidP="00231043">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its fiber-to-the-home network infrastructure.</w:t>
            </w:r>
          </w:p>
        </w:tc>
        <w:tc>
          <w:tcPr>
            <w:tcW w:w="4410" w:type="dxa"/>
            <w:shd w:val="clear" w:color="auto" w:fill="auto"/>
          </w:tcPr>
          <w:p w:rsidR="00CA65AF" w:rsidRPr="00EB7387" w:rsidP="008A6823">
            <w:pPr>
              <w:autoSpaceDE w:val="0"/>
              <w:autoSpaceDN w:val="0"/>
              <w:adjustRightInd w:val="0"/>
              <w:rPr>
                <w:b/>
                <w:szCs w:val="22"/>
              </w:rPr>
            </w:pPr>
            <w:r>
              <w:rPr>
                <w:szCs w:val="22"/>
              </w:rPr>
              <w:t>I</w:t>
            </w:r>
            <w:r w:rsidRPr="004658B5" w:rsidR="00374096">
              <w:rPr>
                <w:szCs w:val="22"/>
              </w:rPr>
              <w:t xml:space="preserve">n the following Wire Centers in </w:t>
            </w:r>
            <w:r w:rsidR="00374096">
              <w:rPr>
                <w:szCs w:val="22"/>
              </w:rPr>
              <w:t>New York</w:t>
            </w:r>
            <w:r w:rsidRPr="004658B5" w:rsidR="00374096">
              <w:rPr>
                <w:szCs w:val="22"/>
              </w:rPr>
              <w:t xml:space="preserve">:  </w:t>
            </w:r>
            <w:r>
              <w:rPr>
                <w:szCs w:val="22"/>
              </w:rPr>
              <w:t>14th Ave</w:t>
            </w:r>
            <w:r w:rsidR="00374096">
              <w:rPr>
                <w:szCs w:val="22"/>
              </w:rPr>
              <w:t>., NY (NYCKNYFT)</w:t>
            </w:r>
            <w:r w:rsidRPr="004658B5" w:rsidR="00374096">
              <w:rPr>
                <w:szCs w:val="22"/>
              </w:rPr>
              <w:t xml:space="preserve">; </w:t>
            </w:r>
            <w:r w:rsidR="00374096">
              <w:rPr>
                <w:szCs w:val="22"/>
              </w:rPr>
              <w:t>14th St., NY (NYCKNY14)</w:t>
            </w:r>
            <w:r w:rsidRPr="004658B5" w:rsidR="00374096">
              <w:rPr>
                <w:szCs w:val="22"/>
              </w:rPr>
              <w:t xml:space="preserve">; </w:t>
            </w:r>
            <w:r w:rsidR="00374096">
              <w:rPr>
                <w:szCs w:val="22"/>
              </w:rPr>
              <w:t>7</w:t>
            </w:r>
            <w:r>
              <w:rPr>
                <w:szCs w:val="22"/>
              </w:rPr>
              <w:t>7th</w:t>
            </w:r>
            <w:r w:rsidR="00374096">
              <w:rPr>
                <w:szCs w:val="22"/>
              </w:rPr>
              <w:t xml:space="preserve"> St., NY (NYCKNY7</w:t>
            </w:r>
            <w:r>
              <w:rPr>
                <w:szCs w:val="22"/>
              </w:rPr>
              <w:t>7</w:t>
            </w:r>
            <w:r w:rsidR="00374096">
              <w:rPr>
                <w:szCs w:val="22"/>
              </w:rPr>
              <w:t>)</w:t>
            </w:r>
            <w:r w:rsidRPr="004658B5" w:rsidR="00374096">
              <w:rPr>
                <w:szCs w:val="22"/>
              </w:rPr>
              <w:t>;</w:t>
            </w:r>
            <w:r w:rsidR="00374096">
              <w:rPr>
                <w:szCs w:val="22"/>
              </w:rPr>
              <w:t xml:space="preserve"> Albemarle Rd., NY (NYCKNYAL); Astoria, NY (NYCQNYAS); Avenue R, NY (NYCKNYAR); Avenue Y, NY (NYCKNYAY); Bayside, NY (NYCQNYBA); Bridge St., NY (NYCKNYBR); Bushwick Ave., NY (NYCKNYBU); Clinton Ave., NY (NYCKNYCL); Convent Ave., NY (NYCMNYCA); Corona, NY (NYCQNYCO); Cruger Ave., NY (NYCXNYCR); East 150th St., NY (NYCXNYMH); East 167th St., NY (NYCXNYJE); East 30th St., NY (NYCMNY30); East 37th St., NY (NYCMNY37); East 56th St., NY </w:t>
            </w:r>
            <w:r w:rsidR="00374096">
              <w:rPr>
                <w:szCs w:val="22"/>
              </w:rPr>
              <w:t xml:space="preserve">(NYCMNY56); East 79th St., NY (NYCMNY79); East 97th St., NY (NYCMNY97); Fairview Ave., NY (NYCKNYFA); Flushing, NY (NYCQNYFL); Forest Hills, NY (NYCQNYFH); Grand Concourse (East 175th St.), NY (NYCXNYGC); Hoe Avenue, NY (NYCXNYHO); Hollis, NY (NYCQNYHS); Jamaica, NY (NYCQNYJA); Kenmore Place, NY (NYCKNYKP); Laurelton, NY (NYCQNYLN); Long Island City, NY (NYCQNYLI); Manhattan Ave., NY (NYCMNYMN); Newtown, NY (NYCQNYNW); Richmond Hill, NY (NYCQNYRH); Rockaway Ave., NY (NYCKNYRA); Second Ave., NY (NYCMNY13); Thayer St., NY (NYCMNYTH); Tiebout Ave., NY (NYCXNYTB); Tratman Ave., NY (NYCXNYTR); Troy Ave., NY (NYCKNYTY); West 176th St., NY (NYCMNYWA); West 18th St., NY (NYCMNY18); West 36th St., NY (NYCMNY36); West 50th St., NY (NYCMNY50); West 73rd St., NY (NYCMNY73); West St., NY (NYCMNYWS); Williamsburg, NY (NYCKNYWM) </w:t>
            </w:r>
            <w:r w:rsidRPr="00335B85" w:rsidR="00374096">
              <w:rPr>
                <w:szCs w:val="22"/>
              </w:rPr>
              <w:t>&amp; at facilities associated with the locations served by th</w:t>
            </w:r>
            <w:r w:rsidR="00374096">
              <w:rPr>
                <w:szCs w:val="22"/>
              </w:rPr>
              <w:t xml:space="preserve">ese </w:t>
            </w:r>
            <w:r w:rsidRPr="00335B85" w:rsidR="00374096">
              <w:rPr>
                <w:szCs w:val="22"/>
              </w:rPr>
              <w:t>wire center</w:t>
            </w:r>
            <w:r w:rsidR="00374096">
              <w:rPr>
                <w:szCs w:val="22"/>
              </w:rPr>
              <w:t>s</w:t>
            </w:r>
            <w:r w:rsidRPr="00335B85" w:rsidR="00374096">
              <w:rPr>
                <w:szCs w:val="22"/>
              </w:rPr>
              <w:t xml:space="preserve"> listed in Exhibit A to the notice under </w:t>
            </w:r>
            <w:r w:rsidR="00374096">
              <w:rPr>
                <w:szCs w:val="22"/>
              </w:rPr>
              <w:t xml:space="preserve">REFILED </w:t>
            </w:r>
            <w:r w:rsidRPr="00335B85" w:rsidR="00374096">
              <w:rPr>
                <w:szCs w:val="22"/>
              </w:rPr>
              <w:t>Copper Retirement ID No. 201</w:t>
            </w:r>
            <w:r w:rsidR="000F4064">
              <w:rPr>
                <w:szCs w:val="22"/>
              </w:rPr>
              <w:t>8</w:t>
            </w:r>
            <w:r w:rsidRPr="00335B85" w:rsidR="00374096">
              <w:rPr>
                <w:szCs w:val="22"/>
              </w:rPr>
              <w:t>-0</w:t>
            </w:r>
            <w:r>
              <w:rPr>
                <w:szCs w:val="22"/>
              </w:rPr>
              <w:t>1</w:t>
            </w:r>
            <w:r w:rsidRPr="00335B85" w:rsidR="00374096">
              <w:rPr>
                <w:szCs w:val="22"/>
              </w:rPr>
              <w:t>-</w:t>
            </w:r>
            <w:r w:rsidR="00374096">
              <w:rPr>
                <w:szCs w:val="22"/>
              </w:rPr>
              <w:t>A</w:t>
            </w:r>
            <w:r w:rsidRPr="00335B85" w:rsidR="00374096">
              <w:rPr>
                <w:szCs w:val="22"/>
              </w:rPr>
              <w:t>-</w:t>
            </w:r>
            <w:r w:rsidR="00374096">
              <w:rPr>
                <w:szCs w:val="22"/>
              </w:rPr>
              <w:t>NY</w:t>
            </w:r>
            <w:r w:rsidRPr="00335B85" w:rsidR="00374096">
              <w:rPr>
                <w:szCs w:val="22"/>
              </w:rPr>
              <w:t xml:space="preserve"> at </w:t>
            </w:r>
            <w:r>
              <w:fldChar w:fldCharType="begin"/>
            </w:r>
            <w:r>
              <w:instrText xml:space="preserve"> HYPERLINK "http://www.verizon.com/about/terms-conditions/network-disclosures" </w:instrText>
            </w:r>
            <w:r>
              <w:fldChar w:fldCharType="separate"/>
            </w:r>
            <w:r w:rsidRPr="00335B85" w:rsidR="00374096">
              <w:rPr>
                <w:rStyle w:val="Hyperlink"/>
                <w:szCs w:val="22"/>
              </w:rPr>
              <w:t>http://www.verizon.com/about/terms-conditions/network-disclosures</w:t>
            </w:r>
            <w:r>
              <w:fldChar w:fldCharType="end"/>
            </w:r>
            <w:r w:rsidRPr="00A07CB4" w:rsidR="00374096">
              <w:rPr>
                <w:szCs w:val="22"/>
              </w:rPr>
              <w:t>.</w:t>
            </w:r>
          </w:p>
        </w:tc>
        <w:tc>
          <w:tcPr>
            <w:tcW w:w="1800" w:type="dxa"/>
            <w:shd w:val="clear" w:color="auto" w:fill="auto"/>
          </w:tcPr>
          <w:p w:rsidR="00CA65AF" w:rsidRPr="009D07FA" w:rsidP="009206C3">
            <w:pPr>
              <w:tabs>
                <w:tab w:val="left" w:pos="0"/>
              </w:tabs>
              <w:suppressAutoHyphens/>
              <w:rPr>
                <w:b/>
                <w:szCs w:val="22"/>
              </w:rPr>
            </w:pPr>
            <w:r>
              <w:rPr>
                <w:szCs w:val="22"/>
              </w:rPr>
              <w:t xml:space="preserve">On or after </w:t>
            </w:r>
            <w:r w:rsidR="00EB7387">
              <w:rPr>
                <w:szCs w:val="22"/>
              </w:rPr>
              <w:t>March 9</w:t>
            </w:r>
            <w:r>
              <w:rPr>
                <w:szCs w:val="22"/>
              </w:rPr>
              <w:t>, 201</w:t>
            </w:r>
            <w:r w:rsidR="00EB7387">
              <w:rPr>
                <w:szCs w:val="22"/>
              </w:rPr>
              <w:t>9</w:t>
            </w:r>
          </w:p>
        </w:tc>
      </w:tr>
    </w:tbl>
    <w:p w:rsidR="00CA65AF" w:rsidP="00CA65AF">
      <w:pPr>
        <w:tabs>
          <w:tab w:val="left" w:pos="0"/>
        </w:tabs>
        <w:suppressAutoHyphens/>
        <w:rPr>
          <w:szCs w:val="22"/>
          <w:lang w:val="de-DE"/>
        </w:rPr>
      </w:pPr>
    </w:p>
    <w:p w:rsidR="00CA65AF" w:rsidRPr="005833F6" w:rsidP="00CA65AF">
      <w:pPr>
        <w:tabs>
          <w:tab w:val="left" w:pos="0"/>
        </w:tabs>
        <w:suppressAutoHyphens/>
        <w:rPr>
          <w:szCs w:val="22"/>
        </w:rPr>
      </w:pPr>
      <w:r w:rsidRPr="005833F6">
        <w:rPr>
          <w:szCs w:val="22"/>
        </w:rPr>
        <w:t>Incumbent LEC contact:</w:t>
      </w:r>
    </w:p>
    <w:p w:rsidR="00EB08B4" w:rsidRPr="00596841" w:rsidP="00EB08B4">
      <w:pPr>
        <w:rPr>
          <w:szCs w:val="22"/>
        </w:rPr>
      </w:pPr>
      <w:r>
        <w:rPr>
          <w:szCs w:val="22"/>
        </w:rPr>
        <w:t>Debra P. Dexter</w:t>
      </w:r>
    </w:p>
    <w:p w:rsidR="00EB08B4" w:rsidRPr="00596841" w:rsidP="00EB08B4">
      <w:pPr>
        <w:rPr>
          <w:szCs w:val="22"/>
        </w:rPr>
      </w:pPr>
      <w:r>
        <w:rPr>
          <w:szCs w:val="22"/>
        </w:rPr>
        <w:t>Associate Director</w:t>
      </w:r>
      <w:r w:rsidRPr="00596841">
        <w:rPr>
          <w:szCs w:val="22"/>
        </w:rPr>
        <w:t xml:space="preserve"> – </w:t>
      </w:r>
      <w:r>
        <w:rPr>
          <w:szCs w:val="22"/>
        </w:rPr>
        <w:t xml:space="preserve">Federal </w:t>
      </w:r>
      <w:r w:rsidRPr="00596841">
        <w:rPr>
          <w:szCs w:val="22"/>
        </w:rPr>
        <w:t xml:space="preserve">Regulatory </w:t>
      </w:r>
      <w:r>
        <w:rPr>
          <w:szCs w:val="22"/>
        </w:rPr>
        <w:t xml:space="preserve">and Legal </w:t>
      </w:r>
      <w:r w:rsidRPr="00596841">
        <w:rPr>
          <w:szCs w:val="22"/>
        </w:rPr>
        <w:t>Affairs</w:t>
      </w:r>
    </w:p>
    <w:p w:rsidR="00EB08B4" w:rsidP="00EB08B4">
      <w:pPr>
        <w:rPr>
          <w:szCs w:val="22"/>
        </w:rPr>
      </w:pPr>
      <w:r>
        <w:rPr>
          <w:szCs w:val="22"/>
        </w:rPr>
        <w:t>Verizon</w:t>
      </w:r>
    </w:p>
    <w:p w:rsidR="00EB08B4" w:rsidP="00EB08B4">
      <w:pPr>
        <w:rPr>
          <w:szCs w:val="22"/>
        </w:rPr>
      </w:pPr>
      <w:r>
        <w:rPr>
          <w:szCs w:val="22"/>
        </w:rPr>
        <w:t>1300 I Street, N.W., Suite 500 East</w:t>
      </w:r>
    </w:p>
    <w:p w:rsidR="00EB08B4" w:rsidP="00EB08B4">
      <w:pPr>
        <w:rPr>
          <w:szCs w:val="22"/>
        </w:rPr>
      </w:pPr>
      <w:r>
        <w:rPr>
          <w:szCs w:val="22"/>
        </w:rPr>
        <w:t>Washington, D.C. 20005</w:t>
      </w:r>
    </w:p>
    <w:p w:rsidR="00EB08B4" w:rsidRPr="00596841" w:rsidP="00EB08B4">
      <w:pPr>
        <w:rPr>
          <w:szCs w:val="22"/>
        </w:rPr>
      </w:pPr>
      <w:r w:rsidRPr="00596841">
        <w:rPr>
          <w:szCs w:val="22"/>
        </w:rPr>
        <w:t>Phone:  (</w:t>
      </w:r>
      <w:r>
        <w:rPr>
          <w:szCs w:val="22"/>
        </w:rPr>
        <w:t>202</w:t>
      </w:r>
      <w:r w:rsidRPr="00596841">
        <w:rPr>
          <w:szCs w:val="22"/>
        </w:rPr>
        <w:t xml:space="preserve">) </w:t>
      </w:r>
      <w:r>
        <w:rPr>
          <w:szCs w:val="22"/>
        </w:rPr>
        <w:t>515</w:t>
      </w:r>
      <w:r w:rsidRPr="00596841">
        <w:rPr>
          <w:szCs w:val="22"/>
        </w:rPr>
        <w:t>-</w:t>
      </w:r>
      <w:r>
        <w:rPr>
          <w:szCs w:val="22"/>
        </w:rPr>
        <w:t>2497</w:t>
      </w:r>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4"/>
      </w:r>
      <w:r w:rsidRPr="00546004">
        <w:rPr>
          <w:szCs w:val="22"/>
        </w:rPr>
        <w:t xml:space="preserve">  </w:t>
      </w:r>
      <w:r w:rsidRPr="00EB7576">
        <w:rPr>
          <w:szCs w:val="22"/>
        </w:rPr>
        <w:t xml:space="preserve">The effective implementation date(s) of network changes referenced in standard copper retirement notices are subject to the FCC public </w:t>
      </w:r>
      <w:r w:rsidRPr="00EB7576">
        <w:rPr>
          <w:szCs w:val="22"/>
        </w:rPr>
        <w:t>notice periods described under section 51.333(b)(2).</w:t>
      </w:r>
      <w:r>
        <w:rPr>
          <w:szCs w:val="22"/>
          <w:vertAlign w:val="superscript"/>
        </w:rPr>
        <w:footnoteReference w:id="5"/>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6"/>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6072DC">
      <w:pPr>
        <w:pStyle w:val="FootnoteText"/>
      </w:pPr>
      <w:r>
        <w:rPr>
          <w:rStyle w:val="FootnoteReference"/>
        </w:rPr>
        <w:footnoteRef/>
      </w:r>
      <w:r>
        <w:t xml:space="preserve"> </w:t>
      </w:r>
      <w:r w:rsidR="00D876F5">
        <w:rPr>
          <w:sz w:val="20"/>
        </w:rPr>
        <w:t xml:space="preserve">With its more recent </w:t>
      </w:r>
      <w:r w:rsidRPr="00142670" w:rsidR="00D876F5">
        <w:rPr>
          <w:sz w:val="20"/>
        </w:rPr>
        <w:t>filing (NCD-2</w:t>
      </w:r>
      <w:r w:rsidR="00D876F5">
        <w:rPr>
          <w:sz w:val="20"/>
        </w:rPr>
        <w:t>878</w:t>
      </w:r>
      <w:r w:rsidRPr="00142670" w:rsidR="00D876F5">
        <w:rPr>
          <w:sz w:val="20"/>
        </w:rPr>
        <w:t>)</w:t>
      </w:r>
      <w:r w:rsidR="00D876F5">
        <w:rPr>
          <w:sz w:val="20"/>
        </w:rPr>
        <w:t>, Verizon withdraws and replaces its original copper retirement filing (NCD-2816) for this network change</w:t>
      </w:r>
      <w:r w:rsidRPr="00142670" w:rsidR="00D876F5">
        <w:rPr>
          <w:sz w:val="20"/>
        </w:rPr>
        <w:t>.</w:t>
      </w:r>
    </w:p>
  </w:footnote>
  <w:footnote w:id="3">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5">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6">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05695980"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