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248BD" w:rsidRPr="004102EB" w:rsidP="004248BD">
      <w:pPr>
        <w:jc w:val="center"/>
        <w:rPr>
          <w:b/>
          <w:szCs w:val="22"/>
        </w:rPr>
      </w:pPr>
      <w:r w:rsidRPr="004102EB">
        <w:rPr>
          <w:b/>
          <w:kern w:val="0"/>
          <w:szCs w:val="22"/>
        </w:rPr>
        <w:t>Before</w:t>
      </w:r>
      <w:r w:rsidRPr="004102EB">
        <w:rPr>
          <w:b/>
          <w:szCs w:val="22"/>
        </w:rPr>
        <w:t xml:space="preserve"> the</w:t>
      </w:r>
    </w:p>
    <w:p w:rsidR="004248BD" w:rsidRPr="004102EB" w:rsidP="004248BD">
      <w:pPr>
        <w:pStyle w:val="StyleBoldCentered"/>
        <w:rPr>
          <w:rFonts w:ascii="Times New Roman" w:hAnsi="Times New Roman"/>
          <w:caps w:val="0"/>
        </w:rPr>
      </w:pPr>
      <w:r w:rsidRPr="004102EB">
        <w:rPr>
          <w:rFonts w:ascii="Times New Roman" w:hAnsi="Times New Roman"/>
        </w:rPr>
        <w:t>F</w:t>
      </w:r>
      <w:r w:rsidRPr="004102EB">
        <w:rPr>
          <w:rFonts w:ascii="Times New Roman" w:hAnsi="Times New Roman"/>
          <w:caps w:val="0"/>
        </w:rPr>
        <w:t>ederal Communi</w:t>
      </w:r>
      <w:bookmarkStart w:id="0" w:name="_GoBack"/>
      <w:bookmarkEnd w:id="0"/>
      <w:r w:rsidRPr="004102EB">
        <w:rPr>
          <w:rFonts w:ascii="Times New Roman" w:hAnsi="Times New Roman"/>
          <w:caps w:val="0"/>
        </w:rPr>
        <w:t>cations Commission</w:t>
      </w:r>
    </w:p>
    <w:p w:rsidR="004248BD" w:rsidRPr="004102EB" w:rsidP="004248BD">
      <w:pPr>
        <w:pStyle w:val="StyleBoldCentered"/>
        <w:rPr>
          <w:rFonts w:ascii="Times New Roman" w:hAnsi="Times New Roman"/>
        </w:rPr>
      </w:pPr>
      <w:r w:rsidRPr="004102EB">
        <w:rPr>
          <w:rFonts w:ascii="Times New Roman" w:hAnsi="Times New Roman"/>
          <w:caps w:val="0"/>
        </w:rPr>
        <w:t>Washington, D.C. 20554</w:t>
      </w:r>
    </w:p>
    <w:p w:rsidR="004248BD" w:rsidP="004248BD">
      <w:pPr>
        <w:tabs>
          <w:tab w:val="left" w:pos="3792"/>
        </w:tabs>
        <w:rPr>
          <w:szCs w:val="22"/>
        </w:rPr>
      </w:pPr>
      <w:r w:rsidRPr="004102EB">
        <w:rPr>
          <w:szCs w:val="22"/>
        </w:rPr>
        <w:tab/>
      </w:r>
    </w:p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:rsidTr="004E0ECD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In the Matter of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Regulation of Business Data Services for Rate-of-Return Local Exchange Carriers</w:t>
            </w:r>
          </w:p>
        </w:tc>
        <w:tc>
          <w:tcPr>
            <w:tcW w:w="630" w:type="dxa"/>
          </w:tcPr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</w:tc>
        <w:tc>
          <w:tcPr>
            <w:tcW w:w="4248" w:type="dxa"/>
          </w:tcPr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WC Docket No. 17-144</w:t>
            </w:r>
          </w:p>
        </w:tc>
      </w:tr>
      <w:tr w:rsidTr="004E0ECD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Business Data Services in an Internet Protocol Environment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Special Access for Price Cap Local Exchange Carriers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</w:tc>
        <w:tc>
          <w:tcPr>
            <w:tcW w:w="630" w:type="dxa"/>
          </w:tcPr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 w:rsidRPr="00F61411">
              <w:rPr>
                <w:b/>
                <w:snapToGrid w:val="0"/>
                <w:spacing w:val="-2"/>
              </w:rPr>
              <w:t>)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b/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>)</w:t>
            </w:r>
          </w:p>
        </w:tc>
        <w:tc>
          <w:tcPr>
            <w:tcW w:w="4248" w:type="dxa"/>
          </w:tcPr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WC Docket No. 16-143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  <w:r w:rsidRPr="00F61411">
              <w:rPr>
                <w:snapToGrid w:val="0"/>
                <w:spacing w:val="-2"/>
              </w:rPr>
              <w:t>WC Docket No. 05-25</w:t>
            </w: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  <w:p w:rsidR="00F61411" w:rsidRPr="00F61411" w:rsidP="00F61411">
            <w:pPr>
              <w:tabs>
                <w:tab w:val="center" w:pos="4680"/>
              </w:tabs>
              <w:suppressAutoHyphens/>
              <w:rPr>
                <w:snapToGrid w:val="0"/>
                <w:spacing w:val="-2"/>
              </w:rPr>
            </w:pPr>
          </w:p>
        </w:tc>
      </w:tr>
    </w:tbl>
    <w:p w:rsidR="004248BD" w:rsidRPr="004102EB" w:rsidP="00394C08">
      <w:pPr>
        <w:pStyle w:val="StyleBoldCentered"/>
        <w:rPr>
          <w:rFonts w:ascii="Times New Roman" w:hAnsi="Times New Roman"/>
        </w:rPr>
      </w:pPr>
      <w:r>
        <w:rPr>
          <w:rFonts w:ascii="Times New Roman" w:hAnsi="Times New Roman"/>
        </w:rPr>
        <w:t>ERRATUM</w:t>
      </w:r>
    </w:p>
    <w:p w:rsidR="004248BD" w:rsidRPr="004102EB" w:rsidP="004248BD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4248BD" w:rsidRPr="004102EB" w:rsidP="0035658A">
      <w:pPr>
        <w:tabs>
          <w:tab w:val="left" w:pos="720"/>
        </w:tabs>
        <w:suppressAutoHyphens/>
        <w:spacing w:line="227" w:lineRule="auto"/>
        <w:jc w:val="right"/>
        <w:rPr>
          <w:spacing w:val="-2"/>
          <w:szCs w:val="22"/>
        </w:rPr>
      </w:pPr>
      <w:r>
        <w:rPr>
          <w:b/>
          <w:spacing w:val="-2"/>
          <w:szCs w:val="22"/>
        </w:rPr>
        <w:tab/>
      </w:r>
      <w:r w:rsidRPr="004102EB">
        <w:rPr>
          <w:b/>
          <w:spacing w:val="-2"/>
          <w:szCs w:val="22"/>
        </w:rPr>
        <w:tab/>
        <w:t xml:space="preserve">Released: </w:t>
      </w:r>
      <w:r w:rsidR="005A5E4C">
        <w:rPr>
          <w:b/>
          <w:spacing w:val="-2"/>
          <w:szCs w:val="22"/>
        </w:rPr>
        <w:t>December</w:t>
      </w:r>
      <w:r w:rsidR="003047E9">
        <w:rPr>
          <w:b/>
          <w:spacing w:val="-2"/>
          <w:szCs w:val="22"/>
        </w:rPr>
        <w:t xml:space="preserve"> </w:t>
      </w:r>
      <w:r w:rsidR="0007615C">
        <w:rPr>
          <w:b/>
          <w:spacing w:val="-2"/>
          <w:szCs w:val="22"/>
        </w:rPr>
        <w:t>11</w:t>
      </w:r>
      <w:r w:rsidR="003047E9">
        <w:rPr>
          <w:b/>
          <w:spacing w:val="-2"/>
          <w:szCs w:val="22"/>
        </w:rPr>
        <w:t>, 2018</w:t>
      </w:r>
    </w:p>
    <w:p w:rsidR="00C407C7" w:rsidP="004248BD">
      <w:pPr>
        <w:rPr>
          <w:szCs w:val="22"/>
        </w:rPr>
      </w:pPr>
    </w:p>
    <w:p w:rsidR="004248BD" w:rsidRPr="004102EB" w:rsidP="004248BD">
      <w:pPr>
        <w:rPr>
          <w:spacing w:val="-2"/>
          <w:szCs w:val="22"/>
        </w:rPr>
      </w:pPr>
      <w:r w:rsidRPr="004102EB">
        <w:rPr>
          <w:szCs w:val="22"/>
        </w:rPr>
        <w:t>By the</w:t>
      </w:r>
      <w:r w:rsidR="00067A1C">
        <w:rPr>
          <w:spacing w:val="-2"/>
          <w:szCs w:val="22"/>
        </w:rPr>
        <w:t xml:space="preserve"> Chief, </w:t>
      </w:r>
      <w:r w:rsidR="00F61411">
        <w:rPr>
          <w:spacing w:val="-2"/>
          <w:szCs w:val="22"/>
        </w:rPr>
        <w:t xml:space="preserve">Wireline Competition </w:t>
      </w:r>
      <w:r w:rsidR="00067A1C">
        <w:rPr>
          <w:spacing w:val="-2"/>
          <w:szCs w:val="22"/>
        </w:rPr>
        <w:t>Bureau</w:t>
      </w:r>
      <w:r w:rsidRPr="004102EB">
        <w:rPr>
          <w:spacing w:val="-2"/>
          <w:szCs w:val="22"/>
        </w:rPr>
        <w:t>:</w:t>
      </w:r>
    </w:p>
    <w:p w:rsidR="004248BD" w:rsidRPr="004102EB" w:rsidP="004248BD">
      <w:pPr>
        <w:rPr>
          <w:szCs w:val="22"/>
        </w:rPr>
      </w:pPr>
    </w:p>
    <w:p w:rsidR="00067A1C" w:rsidRPr="00894CEE" w:rsidP="00394C08">
      <w:pPr>
        <w:widowControl/>
        <w:tabs>
          <w:tab w:val="left" w:pos="5760"/>
        </w:tabs>
        <w:spacing w:after="220"/>
        <w:ind w:firstLine="720"/>
        <w:rPr>
          <w:spacing w:val="-2"/>
          <w:szCs w:val="22"/>
        </w:rPr>
      </w:pPr>
      <w:r>
        <w:rPr>
          <w:spacing w:val="-2"/>
          <w:szCs w:val="22"/>
        </w:rPr>
        <w:t xml:space="preserve">On </w:t>
      </w:r>
      <w:r w:rsidR="00F61411">
        <w:rPr>
          <w:spacing w:val="-2"/>
          <w:szCs w:val="22"/>
        </w:rPr>
        <w:t>October 24</w:t>
      </w:r>
      <w:r w:rsidR="00A71393">
        <w:rPr>
          <w:spacing w:val="-2"/>
          <w:szCs w:val="22"/>
        </w:rPr>
        <w:t>, 2018</w:t>
      </w:r>
      <w:r>
        <w:rPr>
          <w:spacing w:val="-2"/>
          <w:szCs w:val="22"/>
        </w:rPr>
        <w:t xml:space="preserve">, the Commission released a </w:t>
      </w:r>
      <w:r w:rsidRPr="0042613C">
        <w:rPr>
          <w:i/>
          <w:spacing w:val="-2"/>
          <w:szCs w:val="22"/>
        </w:rPr>
        <w:t>Report and Order</w:t>
      </w:r>
      <w:r w:rsidR="00F61411">
        <w:rPr>
          <w:i/>
          <w:spacing w:val="-2"/>
          <w:szCs w:val="22"/>
        </w:rPr>
        <w:t>, Second Further Notice of Proposed Rulemaking and Further Notice of Proposed Rulemaking</w:t>
      </w:r>
      <w:r w:rsidR="00191714">
        <w:rPr>
          <w:i/>
          <w:spacing w:val="-2"/>
          <w:szCs w:val="22"/>
        </w:rPr>
        <w:t xml:space="preserve"> </w:t>
      </w:r>
      <w:r w:rsidR="00191714">
        <w:rPr>
          <w:spacing w:val="-2"/>
          <w:szCs w:val="22"/>
        </w:rPr>
        <w:t>(</w:t>
      </w:r>
      <w:r w:rsidRPr="00F61411" w:rsidR="00191714">
        <w:rPr>
          <w:i/>
          <w:spacing w:val="-2"/>
          <w:szCs w:val="22"/>
        </w:rPr>
        <w:t>Order</w:t>
      </w:r>
      <w:r w:rsidR="00191714">
        <w:rPr>
          <w:spacing w:val="-2"/>
          <w:szCs w:val="22"/>
        </w:rPr>
        <w:t>)</w:t>
      </w:r>
      <w:r w:rsidR="00F61411">
        <w:rPr>
          <w:spacing w:val="-2"/>
          <w:szCs w:val="22"/>
        </w:rPr>
        <w:t>, FCC 18-146</w:t>
      </w:r>
      <w:r>
        <w:rPr>
          <w:spacing w:val="-2"/>
          <w:szCs w:val="22"/>
        </w:rPr>
        <w:t>, in the above-captioned proceeding</w:t>
      </w:r>
      <w:r w:rsidR="00F61411">
        <w:rPr>
          <w:spacing w:val="-2"/>
          <w:szCs w:val="22"/>
        </w:rPr>
        <w:t>s</w:t>
      </w:r>
      <w:r w:rsidR="0017011E">
        <w:rPr>
          <w:spacing w:val="-2"/>
          <w:szCs w:val="22"/>
        </w:rPr>
        <w:t xml:space="preserve">.  </w:t>
      </w:r>
      <w:r w:rsidR="007046A3">
        <w:rPr>
          <w:spacing w:val="-2"/>
          <w:szCs w:val="22"/>
        </w:rPr>
        <w:t>Appendix A to t</w:t>
      </w:r>
      <w:r w:rsidR="0017011E">
        <w:rPr>
          <w:spacing w:val="-2"/>
          <w:szCs w:val="22"/>
        </w:rPr>
        <w:t xml:space="preserve">he </w:t>
      </w:r>
      <w:r w:rsidRPr="0017011E" w:rsidR="0017011E">
        <w:rPr>
          <w:i/>
          <w:spacing w:val="-2"/>
          <w:szCs w:val="22"/>
        </w:rPr>
        <w:t>Order</w:t>
      </w:r>
      <w:r w:rsidR="0017011E">
        <w:rPr>
          <w:spacing w:val="-2"/>
          <w:szCs w:val="22"/>
        </w:rPr>
        <w:t xml:space="preserve"> </w:t>
      </w:r>
      <w:r w:rsidR="00035DD0">
        <w:rPr>
          <w:spacing w:val="-2"/>
          <w:szCs w:val="22"/>
        </w:rPr>
        <w:t xml:space="preserve">included </w:t>
      </w:r>
      <w:r w:rsidR="00174A6B">
        <w:rPr>
          <w:spacing w:val="-2"/>
          <w:szCs w:val="22"/>
        </w:rPr>
        <w:t>two</w:t>
      </w:r>
      <w:r w:rsidR="00035DD0">
        <w:rPr>
          <w:spacing w:val="-2"/>
          <w:szCs w:val="22"/>
        </w:rPr>
        <w:t xml:space="preserve"> inaccurate</w:t>
      </w:r>
      <w:r w:rsidR="00F61411">
        <w:rPr>
          <w:spacing w:val="-2"/>
          <w:szCs w:val="22"/>
        </w:rPr>
        <w:t xml:space="preserve"> reference</w:t>
      </w:r>
      <w:r w:rsidR="00174A6B">
        <w:rPr>
          <w:spacing w:val="-2"/>
          <w:szCs w:val="22"/>
        </w:rPr>
        <w:t>s</w:t>
      </w:r>
      <w:r w:rsidR="00F61411">
        <w:rPr>
          <w:spacing w:val="-2"/>
          <w:szCs w:val="22"/>
        </w:rPr>
        <w:t xml:space="preserve"> to section 1.1409</w:t>
      </w:r>
      <w:r w:rsidR="00C01B51">
        <w:rPr>
          <w:spacing w:val="-2"/>
          <w:szCs w:val="22"/>
        </w:rPr>
        <w:t xml:space="preserve"> of the Commission’s rules</w:t>
      </w:r>
      <w:r w:rsidR="000D039D">
        <w:rPr>
          <w:spacing w:val="-2"/>
          <w:szCs w:val="22"/>
        </w:rPr>
        <w:t xml:space="preserve">.   In </w:t>
      </w:r>
      <w:r w:rsidR="00294C31">
        <w:rPr>
          <w:spacing w:val="-2"/>
          <w:szCs w:val="22"/>
        </w:rPr>
        <w:t>connection with a</w:t>
      </w:r>
      <w:r w:rsidR="000D039D">
        <w:rPr>
          <w:spacing w:val="-2"/>
          <w:szCs w:val="22"/>
        </w:rPr>
        <w:t xml:space="preserve"> </w:t>
      </w:r>
      <w:r w:rsidRPr="000D039D" w:rsidR="000D039D">
        <w:rPr>
          <w:i/>
          <w:spacing w:val="-2"/>
          <w:szCs w:val="22"/>
        </w:rPr>
        <w:t>Report and Order</w:t>
      </w:r>
      <w:r w:rsidR="000D039D">
        <w:rPr>
          <w:spacing w:val="-2"/>
          <w:szCs w:val="22"/>
        </w:rPr>
        <w:t xml:space="preserve"> </w:t>
      </w:r>
      <w:r w:rsidR="00BB5F50">
        <w:rPr>
          <w:spacing w:val="-2"/>
          <w:szCs w:val="22"/>
        </w:rPr>
        <w:t>released</w:t>
      </w:r>
      <w:r w:rsidR="000D039D">
        <w:rPr>
          <w:spacing w:val="-2"/>
          <w:szCs w:val="22"/>
        </w:rPr>
        <w:t xml:space="preserve"> on </w:t>
      </w:r>
      <w:r w:rsidR="0055418F">
        <w:rPr>
          <w:spacing w:val="-2"/>
          <w:szCs w:val="22"/>
        </w:rPr>
        <w:t>July</w:t>
      </w:r>
      <w:r w:rsidR="000D039D">
        <w:rPr>
          <w:spacing w:val="-2"/>
          <w:szCs w:val="22"/>
        </w:rPr>
        <w:t xml:space="preserve"> 1</w:t>
      </w:r>
      <w:r w:rsidR="00BB5F50">
        <w:rPr>
          <w:spacing w:val="-2"/>
          <w:szCs w:val="22"/>
        </w:rPr>
        <w:t>8</w:t>
      </w:r>
      <w:r w:rsidR="000D039D">
        <w:rPr>
          <w:spacing w:val="-2"/>
          <w:szCs w:val="22"/>
        </w:rPr>
        <w:t>, 2018, in a different proceeding, the Commission renumbered section 1.1409 as section 1.</w:t>
      </w:r>
      <w:r w:rsidR="00803F7B">
        <w:rPr>
          <w:spacing w:val="-2"/>
          <w:szCs w:val="22"/>
        </w:rPr>
        <w:t>1</w:t>
      </w:r>
      <w:r w:rsidR="000D039D">
        <w:rPr>
          <w:spacing w:val="-2"/>
          <w:szCs w:val="22"/>
        </w:rPr>
        <w:t xml:space="preserve">406 and modified </w:t>
      </w:r>
      <w:r w:rsidR="00803F7B">
        <w:rPr>
          <w:spacing w:val="-2"/>
          <w:szCs w:val="22"/>
        </w:rPr>
        <w:t>and renumbered some subsections therein</w:t>
      </w:r>
      <w:r w:rsidR="000D039D">
        <w:rPr>
          <w:spacing w:val="-2"/>
          <w:szCs w:val="22"/>
        </w:rPr>
        <w:t>.</w:t>
      </w:r>
      <w:r>
        <w:rPr>
          <w:rStyle w:val="FootnoteReference"/>
          <w:spacing w:val="-2"/>
          <w:szCs w:val="22"/>
        </w:rPr>
        <w:footnoteReference w:id="3"/>
      </w:r>
      <w:r w:rsidR="000D039D">
        <w:rPr>
          <w:spacing w:val="-2"/>
          <w:szCs w:val="22"/>
        </w:rPr>
        <w:t xml:space="preserve">  In the process, </w:t>
      </w:r>
      <w:r w:rsidR="00294C31">
        <w:rPr>
          <w:spacing w:val="-2"/>
          <w:szCs w:val="22"/>
        </w:rPr>
        <w:t xml:space="preserve">what had been section 1.1409(g) </w:t>
      </w:r>
      <w:r w:rsidR="000D039D">
        <w:rPr>
          <w:spacing w:val="-2"/>
          <w:szCs w:val="22"/>
        </w:rPr>
        <w:t>was deleted inadvertently</w:t>
      </w:r>
      <w:r w:rsidR="00C01B51">
        <w:rPr>
          <w:spacing w:val="-2"/>
          <w:szCs w:val="22"/>
        </w:rPr>
        <w:t>.</w:t>
      </w:r>
      <w:r w:rsidR="0044283E">
        <w:rPr>
          <w:spacing w:val="-2"/>
          <w:szCs w:val="22"/>
        </w:rPr>
        <w:t xml:space="preserve"> </w:t>
      </w:r>
      <w:r w:rsidR="0055418F">
        <w:rPr>
          <w:spacing w:val="-2"/>
          <w:szCs w:val="22"/>
        </w:rPr>
        <w:t xml:space="preserve"> </w:t>
      </w:r>
      <w:r w:rsidR="00174A6B">
        <w:rPr>
          <w:spacing w:val="-2"/>
          <w:szCs w:val="22"/>
        </w:rPr>
        <w:t xml:space="preserve">To </w:t>
      </w:r>
      <w:r w:rsidR="00494B0F">
        <w:rPr>
          <w:spacing w:val="-2"/>
          <w:szCs w:val="22"/>
        </w:rPr>
        <w:t xml:space="preserve">effectuate the Commission’s </w:t>
      </w:r>
      <w:r w:rsidR="00294C31">
        <w:rPr>
          <w:spacing w:val="-2"/>
          <w:szCs w:val="22"/>
        </w:rPr>
        <w:t>clear intent</w:t>
      </w:r>
      <w:r w:rsidR="00494B0F">
        <w:rPr>
          <w:spacing w:val="-2"/>
          <w:szCs w:val="22"/>
        </w:rPr>
        <w:t xml:space="preserve"> to amend it</w:t>
      </w:r>
      <w:r w:rsidR="00BD41A3">
        <w:rPr>
          <w:spacing w:val="-2"/>
          <w:szCs w:val="22"/>
        </w:rPr>
        <w:t>s</w:t>
      </w:r>
      <w:r w:rsidR="00494B0F">
        <w:rPr>
          <w:spacing w:val="-2"/>
          <w:szCs w:val="22"/>
        </w:rPr>
        <w:t xml:space="preserve"> rules to allow rate</w:t>
      </w:r>
      <w:r w:rsidR="00BD41A3">
        <w:rPr>
          <w:spacing w:val="-2"/>
          <w:szCs w:val="22"/>
        </w:rPr>
        <w:t>-</w:t>
      </w:r>
      <w:r w:rsidR="00494B0F">
        <w:rPr>
          <w:spacing w:val="-2"/>
          <w:szCs w:val="22"/>
        </w:rPr>
        <w:t>of</w:t>
      </w:r>
      <w:r w:rsidR="00BD41A3">
        <w:rPr>
          <w:spacing w:val="-2"/>
          <w:szCs w:val="22"/>
        </w:rPr>
        <w:t>-</w:t>
      </w:r>
      <w:r w:rsidR="00494B0F">
        <w:rPr>
          <w:spacing w:val="-2"/>
          <w:szCs w:val="22"/>
        </w:rPr>
        <w:t xml:space="preserve">return carriers </w:t>
      </w:r>
      <w:r w:rsidRPr="004C2822" w:rsidR="004C2822">
        <w:rPr>
          <w:spacing w:val="-2"/>
          <w:szCs w:val="22"/>
        </w:rPr>
        <w:t xml:space="preserve">that elect the light touch regulatory framework provided for in the </w:t>
      </w:r>
      <w:r w:rsidRPr="004C2822" w:rsidR="004C2822">
        <w:rPr>
          <w:i/>
          <w:iCs/>
          <w:spacing w:val="-2"/>
          <w:szCs w:val="22"/>
        </w:rPr>
        <w:t>Order,</w:t>
      </w:r>
      <w:r w:rsidRPr="004C2822" w:rsidR="004C2822">
        <w:rPr>
          <w:spacing w:val="-2"/>
          <w:szCs w:val="22"/>
        </w:rPr>
        <w:t xml:space="preserve"> as well </w:t>
      </w:r>
      <w:r w:rsidR="00494B0F">
        <w:rPr>
          <w:spacing w:val="-2"/>
          <w:szCs w:val="22"/>
        </w:rPr>
        <w:t>a</w:t>
      </w:r>
      <w:r w:rsidR="004C2822">
        <w:rPr>
          <w:spacing w:val="-2"/>
          <w:szCs w:val="22"/>
        </w:rPr>
        <w:t>s</w:t>
      </w:r>
      <w:r w:rsidR="00494B0F">
        <w:rPr>
          <w:spacing w:val="-2"/>
          <w:szCs w:val="22"/>
        </w:rPr>
        <w:t xml:space="preserve"> price cap carriers to use GAAP accounting, as</w:t>
      </w:r>
      <w:r w:rsidR="00294C31">
        <w:rPr>
          <w:spacing w:val="-2"/>
          <w:szCs w:val="22"/>
        </w:rPr>
        <w:t xml:space="preserve"> set forth in the </w:t>
      </w:r>
      <w:r w:rsidRPr="00294C31" w:rsidR="00294C31">
        <w:rPr>
          <w:i/>
          <w:spacing w:val="-2"/>
          <w:szCs w:val="22"/>
        </w:rPr>
        <w:t>Order</w:t>
      </w:r>
      <w:r w:rsidR="00174A6B">
        <w:rPr>
          <w:spacing w:val="-2"/>
          <w:szCs w:val="22"/>
        </w:rPr>
        <w:t xml:space="preserve">, </w:t>
      </w:r>
      <w:r w:rsidR="00107417">
        <w:rPr>
          <w:spacing w:val="-2"/>
          <w:szCs w:val="22"/>
        </w:rPr>
        <w:t xml:space="preserve">this Erratum </w:t>
      </w:r>
      <w:r w:rsidR="00107417">
        <w:rPr>
          <w:spacing w:val="-2"/>
          <w:szCs w:val="22"/>
        </w:rPr>
        <w:t>amends</w:t>
      </w:r>
      <w:r w:rsidR="00107417">
        <w:rPr>
          <w:spacing w:val="-2"/>
          <w:szCs w:val="22"/>
        </w:rPr>
        <w:t xml:space="preserve"> </w:t>
      </w:r>
      <w:r w:rsidR="007046A3">
        <w:rPr>
          <w:spacing w:val="-2"/>
          <w:szCs w:val="22"/>
        </w:rPr>
        <w:t xml:space="preserve">Appendix A to </w:t>
      </w:r>
      <w:r w:rsidR="00107417">
        <w:rPr>
          <w:spacing w:val="-2"/>
          <w:szCs w:val="22"/>
        </w:rPr>
        <w:t xml:space="preserve">the </w:t>
      </w:r>
      <w:r w:rsidRPr="0042613C" w:rsidR="00A71393">
        <w:rPr>
          <w:i/>
          <w:spacing w:val="-2"/>
          <w:szCs w:val="22"/>
        </w:rPr>
        <w:t>Order</w:t>
      </w:r>
      <w:r w:rsidR="00A71393">
        <w:rPr>
          <w:spacing w:val="-2"/>
          <w:szCs w:val="22"/>
        </w:rPr>
        <w:t xml:space="preserve"> </w:t>
      </w:r>
      <w:r>
        <w:rPr>
          <w:spacing w:val="-2"/>
          <w:szCs w:val="22"/>
        </w:rPr>
        <w:t>as indicated below:</w:t>
      </w:r>
    </w:p>
    <w:p w:rsidR="007046A3" w:rsidP="00035DD0">
      <w:pPr>
        <w:pStyle w:val="ParaNum"/>
        <w:tabs>
          <w:tab w:val="num" w:pos="720"/>
          <w:tab w:val="clear" w:pos="990"/>
        </w:tabs>
        <w:spacing w:after="220"/>
        <w:ind w:firstLine="360"/>
        <w:rPr>
          <w:szCs w:val="22"/>
        </w:rPr>
      </w:pPr>
      <w:r>
        <w:rPr>
          <w:szCs w:val="22"/>
        </w:rPr>
        <w:t xml:space="preserve">Paragraph 1 </w:t>
      </w:r>
      <w:r w:rsidR="00191714">
        <w:rPr>
          <w:szCs w:val="22"/>
        </w:rPr>
        <w:t>is corrected to read as follows:</w:t>
      </w:r>
    </w:p>
    <w:p w:rsidR="00A71393" w:rsidRPr="00696907" w:rsidP="0035658A">
      <w:pPr>
        <w:pStyle w:val="ParaNum"/>
        <w:numPr>
          <w:ilvl w:val="0"/>
          <w:numId w:val="0"/>
        </w:numPr>
        <w:spacing w:after="220"/>
        <w:ind w:left="720"/>
        <w:rPr>
          <w:szCs w:val="22"/>
        </w:rPr>
      </w:pPr>
      <w:r>
        <w:rPr>
          <w:szCs w:val="22"/>
        </w:rPr>
        <w:t>“</w:t>
      </w:r>
      <w:r w:rsidRPr="00BD3D5B" w:rsidR="008D630C">
        <w:rPr>
          <w:szCs w:val="22"/>
        </w:rPr>
        <w:t>S</w:t>
      </w:r>
      <w:r w:rsidRPr="00BD3D5B">
        <w:rPr>
          <w:szCs w:val="22"/>
        </w:rPr>
        <w:t xml:space="preserve">ection 1.1406 </w:t>
      </w:r>
      <w:r w:rsidRPr="00BD3D5B" w:rsidR="00174A6B">
        <w:rPr>
          <w:szCs w:val="22"/>
        </w:rPr>
        <w:t xml:space="preserve">is </w:t>
      </w:r>
      <w:r w:rsidRPr="00BD3D5B" w:rsidR="00696907">
        <w:rPr>
          <w:szCs w:val="22"/>
        </w:rPr>
        <w:t xml:space="preserve">amended by </w:t>
      </w:r>
      <w:r w:rsidRPr="00BD3D5B" w:rsidR="00174A6B">
        <w:rPr>
          <w:szCs w:val="22"/>
        </w:rPr>
        <w:t>add</w:t>
      </w:r>
      <w:r w:rsidRPr="00BD3D5B" w:rsidR="00696907">
        <w:rPr>
          <w:szCs w:val="22"/>
        </w:rPr>
        <w:t>ing</w:t>
      </w:r>
      <w:r w:rsidRPr="00BD3D5B" w:rsidR="00174A6B">
        <w:rPr>
          <w:szCs w:val="22"/>
        </w:rPr>
        <w:t xml:space="preserve"> </w:t>
      </w:r>
      <w:r w:rsidRPr="00BD3D5B" w:rsidR="00696907">
        <w:rPr>
          <w:szCs w:val="22"/>
        </w:rPr>
        <w:t xml:space="preserve">paragraph (e) </w:t>
      </w:r>
      <w:r w:rsidRPr="00BD3D5B">
        <w:rPr>
          <w:szCs w:val="22"/>
        </w:rPr>
        <w:t>to read as follows:</w:t>
      </w:r>
    </w:p>
    <w:p w:rsidR="00A71393" w:rsidRPr="0017011E" w:rsidP="0035658A">
      <w:pPr>
        <w:pStyle w:val="ParaNum"/>
        <w:numPr>
          <w:ilvl w:val="0"/>
          <w:numId w:val="0"/>
        </w:numPr>
        <w:spacing w:after="220"/>
        <w:ind w:left="720"/>
        <w:rPr>
          <w:b/>
        </w:rPr>
      </w:pPr>
      <w:r w:rsidRPr="0017011E">
        <w:rPr>
          <w:b/>
        </w:rPr>
        <w:t xml:space="preserve">§ 1.1406 </w:t>
      </w:r>
      <w:r w:rsidR="00394C08">
        <w:rPr>
          <w:b/>
        </w:rPr>
        <w:t xml:space="preserve">  </w:t>
      </w:r>
      <w:r w:rsidRPr="0017011E">
        <w:rPr>
          <w:b/>
        </w:rPr>
        <w:t>Commission consideration of the complaint.</w:t>
      </w:r>
    </w:p>
    <w:p w:rsidR="00035DD0" w:rsidP="00394C08">
      <w:pPr>
        <w:pStyle w:val="ParaNum"/>
        <w:numPr>
          <w:ilvl w:val="0"/>
          <w:numId w:val="0"/>
        </w:numPr>
        <w:spacing w:after="220"/>
        <w:ind w:firstLine="720"/>
      </w:pPr>
      <w:r>
        <w:t xml:space="preserve">* * * * * </w:t>
      </w:r>
    </w:p>
    <w:p w:rsidR="00C61037" w:rsidRPr="007A1B64" w:rsidP="0035658A">
      <w:pPr>
        <w:pStyle w:val="ParaNum"/>
        <w:numPr>
          <w:ilvl w:val="0"/>
          <w:numId w:val="0"/>
        </w:numPr>
        <w:spacing w:after="220"/>
        <w:ind w:left="720"/>
      </w:pPr>
      <w:r>
        <w:t>(e</w:t>
      </w:r>
      <w:r w:rsidR="00884A2F">
        <w:t>)</w:t>
      </w:r>
      <w:r>
        <w:t xml:space="preserve"> A price cap company</w:t>
      </w:r>
      <w:r w:rsidR="00035DD0">
        <w:t xml:space="preserve">, or a rate-of-return carrier electing to provide service pursuant to </w:t>
      </w:r>
      <w:r w:rsidRPr="00035DD0" w:rsidR="00035DD0">
        <w:t>§</w:t>
      </w:r>
      <w:r w:rsidR="00035DD0">
        <w:t xml:space="preserve"> 61.50 of this chapter, that</w:t>
      </w:r>
      <w:r>
        <w:t xml:space="preserve"> opt</w:t>
      </w:r>
      <w:r w:rsidR="00035DD0">
        <w:t>s</w:t>
      </w:r>
      <w:r>
        <w:t xml:space="preserve">-out of Part 32 may calculate attachment rates for its poles, </w:t>
      </w:r>
      <w:r w:rsidR="00035DD0">
        <w:t xml:space="preserve">ducts, </w:t>
      </w:r>
      <w:r>
        <w:t xml:space="preserve">conduits, and rights of way using either Part 32 accounting data or GAAP accounting data. </w:t>
      </w:r>
      <w:r w:rsidR="004F2330">
        <w:t xml:space="preserve"> </w:t>
      </w:r>
      <w:r>
        <w:t>A company</w:t>
      </w:r>
      <w:r w:rsidR="00035DD0">
        <w:t xml:space="preserve"> </w:t>
      </w:r>
      <w:r>
        <w:t xml:space="preserve">using GAAP accounting data to compute rates to attach to its poles, </w:t>
      </w:r>
      <w:r w:rsidR="00035DD0">
        <w:t xml:space="preserve">ducts, </w:t>
      </w:r>
      <w:r>
        <w:t xml:space="preserve">conduits, and rights of way in any of the first twelve years after opting-out must adjust (increase or decrease) its annually computed GAAP-based rates by an Implementation Rate Difference for each of the remaining years in the period. </w:t>
      </w:r>
      <w:r w:rsidR="0056077F">
        <w:t xml:space="preserve"> </w:t>
      </w:r>
      <w:r>
        <w:t xml:space="preserve">The Implementation Rate Difference means the difference between attachment rates calculated by the </w:t>
      </w:r>
      <w:r w:rsidR="00035DD0">
        <w:t xml:space="preserve">company </w:t>
      </w:r>
      <w:r>
        <w:t xml:space="preserve">under Part 32 and under GAAP as of the last full year preceding the </w:t>
      </w:r>
      <w:r w:rsidR="00035DD0">
        <w:t xml:space="preserve">company’s </w:t>
      </w:r>
      <w:r>
        <w:t>initial opting-out of Part 32 USOA accounting requirements.</w:t>
      </w:r>
      <w:r w:rsidR="00191714">
        <w:t>”</w:t>
      </w:r>
    </w:p>
    <w:p w:rsidR="00A71393" w:rsidRPr="00894CEE" w:rsidP="0035658A">
      <w:pPr>
        <w:pStyle w:val="ParaNum"/>
        <w:keepNext/>
        <w:widowControl/>
        <w:tabs>
          <w:tab w:val="num" w:pos="720"/>
          <w:tab w:val="clear" w:pos="990"/>
        </w:tabs>
        <w:spacing w:after="220"/>
        <w:ind w:firstLine="360"/>
        <w:rPr>
          <w:kern w:val="0"/>
        </w:rPr>
      </w:pPr>
      <w:r>
        <w:rPr>
          <w:szCs w:val="22"/>
        </w:rPr>
        <w:t>Paragraph 2</w:t>
      </w:r>
      <w:r w:rsidR="00191714">
        <w:rPr>
          <w:szCs w:val="22"/>
        </w:rPr>
        <w:t xml:space="preserve">, in section 32.11(g), </w:t>
      </w:r>
      <w:r>
        <w:rPr>
          <w:szCs w:val="22"/>
        </w:rPr>
        <w:t>replac</w:t>
      </w:r>
      <w:r w:rsidR="00191714">
        <w:rPr>
          <w:szCs w:val="22"/>
        </w:rPr>
        <w:t>e</w:t>
      </w:r>
      <w:r>
        <w:rPr>
          <w:szCs w:val="22"/>
        </w:rPr>
        <w:t xml:space="preserve"> </w:t>
      </w:r>
      <w:r w:rsidR="00191714">
        <w:rPr>
          <w:szCs w:val="22"/>
        </w:rPr>
        <w:t>“</w:t>
      </w:r>
      <w:r w:rsidR="00A86850">
        <w:rPr>
          <w:szCs w:val="22"/>
        </w:rPr>
        <w:t>section 1.1409(g)</w:t>
      </w:r>
      <w:r w:rsidR="00191714">
        <w:rPr>
          <w:szCs w:val="22"/>
        </w:rPr>
        <w:t>”</w:t>
      </w:r>
      <w:r w:rsidR="00A86850">
        <w:rPr>
          <w:szCs w:val="22"/>
        </w:rPr>
        <w:t xml:space="preserve"> </w:t>
      </w:r>
      <w:r w:rsidR="00B705E5">
        <w:rPr>
          <w:szCs w:val="22"/>
        </w:rPr>
        <w:t xml:space="preserve">with </w:t>
      </w:r>
      <w:r w:rsidR="00191714">
        <w:rPr>
          <w:szCs w:val="22"/>
        </w:rPr>
        <w:t>“</w:t>
      </w:r>
      <w:r w:rsidR="00A86850">
        <w:rPr>
          <w:szCs w:val="22"/>
        </w:rPr>
        <w:t>section 1.1406(e)</w:t>
      </w:r>
      <w:r w:rsidR="001D7391">
        <w:rPr>
          <w:szCs w:val="22"/>
        </w:rPr>
        <w:t>.”</w:t>
      </w:r>
      <w:r w:rsidR="0056077F">
        <w:rPr>
          <w:kern w:val="0"/>
        </w:rPr>
        <w:t>.</w:t>
      </w:r>
    </w:p>
    <w:p w:rsidR="004248BD" w:rsidRPr="004102EB" w:rsidP="0035658A">
      <w:pPr>
        <w:pStyle w:val="ParaNum"/>
        <w:keepNext/>
        <w:widowControl/>
        <w:numPr>
          <w:ilvl w:val="0"/>
          <w:numId w:val="0"/>
        </w:numPr>
        <w:ind w:left="4320"/>
        <w:rPr>
          <w:szCs w:val="22"/>
        </w:rPr>
      </w:pPr>
    </w:p>
    <w:p w:rsidR="004248BD" w:rsidRPr="004102EB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  <w:r w:rsidRPr="004102EB">
        <w:rPr>
          <w:szCs w:val="22"/>
        </w:rPr>
        <w:t>FEDERAL COMMUNICATIONS COMMISSION</w:t>
      </w:r>
    </w:p>
    <w:p w:rsidR="004248BD" w:rsidRPr="004102EB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</w:p>
    <w:p w:rsidR="004248BD" w:rsidRPr="004102EB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</w:p>
    <w:p w:rsidR="004248BD" w:rsidRPr="004102EB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</w:p>
    <w:p w:rsidR="004248BD" w:rsidRPr="004102EB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</w:p>
    <w:p w:rsidR="00067A1C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  <w:r>
        <w:t xml:space="preserve">Kris </w:t>
      </w:r>
      <w:r w:rsidR="006E5500">
        <w:t xml:space="preserve">Anne </w:t>
      </w:r>
      <w:r>
        <w:t>Monteith</w:t>
      </w:r>
      <w:r>
        <w:rPr>
          <w:szCs w:val="22"/>
        </w:rPr>
        <w:t xml:space="preserve"> </w:t>
      </w:r>
    </w:p>
    <w:p w:rsidR="00067A1C" w:rsidP="0035658A">
      <w:pPr>
        <w:pStyle w:val="ParaNum"/>
        <w:keepNext/>
        <w:widowControl/>
        <w:numPr>
          <w:ilvl w:val="0"/>
          <w:numId w:val="0"/>
        </w:numPr>
        <w:spacing w:after="0"/>
        <w:ind w:left="4320"/>
        <w:rPr>
          <w:szCs w:val="22"/>
        </w:rPr>
      </w:pPr>
      <w:r>
        <w:rPr>
          <w:szCs w:val="22"/>
        </w:rPr>
        <w:t>Chief</w:t>
      </w:r>
    </w:p>
    <w:p w:rsidR="00067A1C" w:rsidRPr="00894CEE" w:rsidP="00894CEE">
      <w:pPr>
        <w:pStyle w:val="ParaNum"/>
        <w:numPr>
          <w:ilvl w:val="0"/>
          <w:numId w:val="0"/>
        </w:numPr>
        <w:spacing w:after="0"/>
        <w:ind w:left="4320"/>
        <w:rPr>
          <w:szCs w:val="22"/>
        </w:rPr>
      </w:pPr>
      <w:r>
        <w:t xml:space="preserve">Wireline Competition </w:t>
      </w:r>
      <w:r>
        <w:t>Bureau</w:t>
      </w:r>
    </w:p>
    <w:sectPr w:rsidSect="0035658A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AF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23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AF9" w:rsidP="003565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AF9" w:rsidP="003565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67D85">
      <w:r>
        <w:separator/>
      </w:r>
    </w:p>
  </w:footnote>
  <w:footnote w:type="continuationSeparator" w:id="1">
    <w:p w:rsidR="00367D85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67D85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541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418F">
        <w:rPr>
          <w:i/>
        </w:rPr>
        <w:t>See</w:t>
      </w:r>
      <w:r>
        <w:t xml:space="preserve"> Appendix, </w:t>
      </w:r>
      <w:r w:rsidRPr="0055418F">
        <w:rPr>
          <w:i/>
        </w:rPr>
        <w:t>Amendment of Procedural Rules Governing Formal Complaint Proceedings Delegated to the Enforcement Bureau</w:t>
      </w:r>
      <w:r>
        <w:t>, Report and Order, FCC 18-96 (July 18, 2018)</w:t>
      </w:r>
      <w:r w:rsidR="00BD6CC0">
        <w:t xml:space="preserve"> (</w:t>
      </w:r>
      <w:r w:rsidRPr="0035658A" w:rsidR="00BD6CC0">
        <w:rPr>
          <w:i/>
        </w:rPr>
        <w:t>Report and Order</w:t>
      </w:r>
      <w:r w:rsidR="00BD6CC0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AF9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234AF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>
          <w10:wrap anchorx="margin"/>
        </v:rect>
      </w:pict>
    </w:r>
  </w:p>
  <w:p w:rsidR="00234AF9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AF9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>
          <w10:wrap anchorx="margin"/>
        </v:rect>
      </w:pic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06CBB"/>
    <w:multiLevelType w:val="multilevel"/>
    <w:tmpl w:val="9D8EFE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61182925"/>
    <w:multiLevelType w:val="singleLevel"/>
    <w:tmpl w:val="0D221690"/>
    <w:lvl w:ilvl="0">
      <w:start w:val="1"/>
      <w:numFmt w:val="decimal"/>
      <w:pStyle w:val="ParaNum"/>
      <w:lvlText w:val="%1."/>
      <w:lvlJc w:val="left"/>
      <w:pPr>
        <w:tabs>
          <w:tab w:val="num" w:pos="990"/>
        </w:tabs>
        <w:ind w:firstLine="720"/>
      </w:pPr>
      <w:rPr>
        <w:rFonts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8BD"/>
    <w:pPr>
      <w:widowControl w:val="0"/>
    </w:pPr>
    <w:rPr>
      <w:kern w:val="28"/>
      <w:sz w:val="22"/>
    </w:rPr>
  </w:style>
  <w:style w:type="paragraph" w:styleId="Heading1">
    <w:name w:val="heading 1"/>
    <w:basedOn w:val="Normal"/>
    <w:next w:val="ParaNum"/>
    <w:link w:val="Heading1Char"/>
    <w:uiPriority w:val="9"/>
    <w:qFormat/>
    <w:rsid w:val="00F849D0"/>
    <w:pPr>
      <w:keepNext/>
      <w:numPr>
        <w:numId w:val="3"/>
      </w:numPr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uiPriority w:val="9"/>
    <w:qFormat/>
    <w:rsid w:val="001F570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uiPriority w:val="9"/>
    <w:qFormat/>
    <w:rsid w:val="00F849D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uiPriority w:val="9"/>
    <w:qFormat/>
    <w:rsid w:val="00F849D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aliases w:val="Heading 5 Char Char Char Char Char,Heading 5 Char Char Char1,Heading 5 Char Char1 Char,Heading 5 Char Char2,Heading 5 Char1 Char Char Char,Heading 5 Char1 Char Char1,Heading 5 Char1 Char1,Heading 5 Char2"/>
    <w:basedOn w:val="Normal"/>
    <w:next w:val="ParaNum"/>
    <w:link w:val="Heading5Char"/>
    <w:uiPriority w:val="9"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eading 6 Char Char,Heading 6 Char Char Char,Heading 6 Char Char1,Heading 6 Char1,Heading 6 Char1 Char,Heading 6 Char2,h6"/>
    <w:basedOn w:val="Normal"/>
    <w:next w:val="ParaNum"/>
    <w:link w:val="Heading6Char"/>
    <w:uiPriority w:val="9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uiPriority w:val="9"/>
    <w:qFormat/>
    <w:rsid w:val="00036039"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uiPriority w:val="9"/>
    <w:qFormat/>
    <w:rsid w:val="001E01CA"/>
    <w:pPr>
      <w:numPr>
        <w:ilvl w:val="7"/>
        <w:numId w:val="3"/>
      </w:numPr>
      <w:tabs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aliases w:val="9,Heading 9.table,Titre 9,Topic,t,table"/>
    <w:basedOn w:val="Normal"/>
    <w:next w:val="ParaNum"/>
    <w:link w:val="Heading9Char"/>
    <w:uiPriority w:val="9"/>
    <w:qFormat/>
    <w:rsid w:val="001E01CA"/>
    <w:pPr>
      <w:numPr>
        <w:ilvl w:val="8"/>
        <w:numId w:val="3"/>
      </w:numPr>
      <w:tabs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Yu Gothic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F849D0"/>
    <w:rPr>
      <w:rFonts w:cs="Times New Roman"/>
      <w:b/>
      <w:kern w:val="28"/>
      <w:sz w:val="22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Yu Gothic Light" w:hAnsi="Calibri Light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Yu Mincho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aliases w:val="Heading 5 Char Char Char Char Char Char,Heading 5 Char Char Char1 Char,Heading 5 Char Char1 Char Char,Heading 5 Char Char2 Char,Heading 5 Char1 Char Char Char Char,Heading 5 Char1 Char1 Char,Heading 5 Char2 Char"/>
    <w:link w:val="Heading5"/>
    <w:uiPriority w:val="9"/>
    <w:semiHidden/>
    <w:locked/>
    <w:rPr>
      <w:rFonts w:ascii="Calibri" w:eastAsia="Yu Mincho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aliases w:val="Heading 6 Char Char Char Char,Heading 6 Char Char Char1,Heading 6 Char Char1 Char,Heading 6 Char1 Char Char,Heading 6 Char1 Char1,Heading 6 Char2 Char,h6 Char"/>
    <w:link w:val="Heading6"/>
    <w:uiPriority w:val="9"/>
    <w:semiHidden/>
    <w:locked/>
    <w:rPr>
      <w:rFonts w:ascii="Calibri" w:eastAsia="Yu Mincho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Yu Mincho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Yu Mincho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aliases w:val="9 Char,Heading 9.table Char,Titre 9 Char,Topic Char,t Char,table Char"/>
    <w:link w:val="Heading9"/>
    <w:uiPriority w:val="9"/>
    <w:semiHidden/>
    <w:locked/>
    <w:rPr>
      <w:rFonts w:ascii="Calibri Light" w:eastAsia="Yu Gothic Light" w:hAnsi="Calibri Light" w:cs="Times New Roman"/>
      <w:kern w:val="28"/>
      <w:sz w:val="22"/>
      <w:szCs w:val="22"/>
    </w:rPr>
  </w:style>
  <w:style w:type="paragraph" w:customStyle="1" w:styleId="ParaNum">
    <w:name w:val="ParaNum"/>
    <w:basedOn w:val="Normal"/>
    <w:link w:val="ParaNumChar"/>
    <w:rsid w:val="00F849D0"/>
    <w:pPr>
      <w:numPr>
        <w:numId w:val="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kern w:val="2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849D0"/>
    <w:pPr>
      <w:widowControl/>
      <w:spacing w:after="120"/>
    </w:pPr>
    <w:rPr>
      <w:kern w:val="0"/>
      <w:sz w:val="20"/>
    </w:rPr>
  </w:style>
  <w:style w:type="character" w:customStyle="1" w:styleId="FootnoteTextChar">
    <w:name w:val="Footnote Text Char"/>
    <w:link w:val="FootnoteText"/>
    <w:uiPriority w:val="99"/>
    <w:locked/>
    <w:rsid w:val="004248BD"/>
    <w:rPr>
      <w:rFonts w:cs="Times New Roman"/>
    </w:rPr>
  </w:style>
  <w:style w:type="character" w:styleId="FootnoteReference">
    <w:name w:val="footnote reference"/>
    <w:uiPriority w:val="99"/>
    <w:rsid w:val="00F849D0"/>
    <w:rPr>
      <w:rFonts w:ascii="Times New Roman" w:hAnsi="Times New Roman" w:cs="Times New Roman"/>
      <w:color w:val="auto"/>
      <w:sz w:val="20"/>
      <w:vertAlign w:val="superscript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uiPriority w:val="39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uiPriority w:val="39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uiPriority w:val="99"/>
    <w:locked/>
    <w:rsid w:val="00F42413"/>
    <w:rPr>
      <w:rFonts w:cs="Times New Roman"/>
      <w:b/>
      <w:kern w:val="28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42413"/>
    <w:rPr>
      <w:rFonts w:cs="Times New Roman"/>
      <w:kern w:val="28"/>
      <w:sz w:val="22"/>
    </w:rPr>
  </w:style>
  <w:style w:type="character" w:styleId="PageNumber">
    <w:name w:val="page number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8BD"/>
    <w:pPr>
      <w:widowControl/>
      <w:spacing w:before="100" w:beforeAutospacing="1" w:after="100" w:afterAutospacing="1"/>
    </w:pPr>
    <w:rPr>
      <w:rFonts w:ascii="Times" w:eastAsia="MS Mincho" w:hAnsi="Times"/>
      <w:kern w:val="0"/>
      <w:sz w:val="20"/>
    </w:rPr>
  </w:style>
  <w:style w:type="character" w:customStyle="1" w:styleId="ParaNumChar">
    <w:name w:val="ParaNum Char"/>
    <w:link w:val="ParaNum"/>
    <w:locked/>
    <w:rsid w:val="004248BD"/>
    <w:rPr>
      <w:kern w:val="28"/>
      <w:sz w:val="22"/>
    </w:rPr>
  </w:style>
  <w:style w:type="character" w:styleId="CommentReference">
    <w:name w:val="annotation reference"/>
    <w:uiPriority w:val="99"/>
    <w:unhideWhenUsed/>
    <w:rsid w:val="00F424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413"/>
    <w:pPr>
      <w:widowControl/>
      <w:spacing w:after="200"/>
    </w:pPr>
    <w:rPr>
      <w:rFonts w:ascii="Calibri" w:hAnsi="Calibri"/>
      <w:kern w:val="0"/>
      <w:sz w:val="20"/>
    </w:rPr>
  </w:style>
  <w:style w:type="character" w:customStyle="1" w:styleId="CommentTextChar">
    <w:name w:val="Comment Text Char"/>
    <w:link w:val="CommentText"/>
    <w:uiPriority w:val="99"/>
    <w:locked/>
    <w:rsid w:val="00F42413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241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42413"/>
    <w:rPr>
      <w:rFonts w:ascii="Calibri" w:hAnsi="Calibri" w:cs="Times New Roman"/>
      <w:b/>
    </w:rPr>
  </w:style>
  <w:style w:type="paragraph" w:styleId="BalloonText">
    <w:name w:val="Balloon Text"/>
    <w:basedOn w:val="Normal"/>
    <w:link w:val="BalloonTextChar"/>
    <w:uiPriority w:val="99"/>
    <w:unhideWhenUsed/>
    <w:rsid w:val="00F42413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42413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F4241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2413"/>
    <w:pPr>
      <w:widowControl/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character" w:customStyle="1" w:styleId="cosearchwithinterm">
    <w:name w:val="co_searchwithinterm"/>
    <w:rsid w:val="00F42413"/>
  </w:style>
  <w:style w:type="character" w:customStyle="1" w:styleId="apple-converted-space">
    <w:name w:val="apple-converted-space"/>
    <w:rsid w:val="00F42413"/>
  </w:style>
  <w:style w:type="character" w:styleId="Emphasis">
    <w:name w:val="Emphasis"/>
    <w:uiPriority w:val="20"/>
    <w:qFormat/>
    <w:rsid w:val="000A0035"/>
    <w:rPr>
      <w:rFonts w:cs="Times New Roman"/>
      <w:i/>
      <w:iCs/>
    </w:rPr>
  </w:style>
  <w:style w:type="character" w:customStyle="1" w:styleId="enumxml">
    <w:name w:val="enumxml"/>
    <w:rsid w:val="000A598C"/>
    <w:rPr>
      <w:rFonts w:cs="Times New Roman"/>
    </w:rPr>
  </w:style>
  <w:style w:type="character" w:customStyle="1" w:styleId="et03">
    <w:name w:val="et03"/>
    <w:rsid w:val="000A598C"/>
    <w:rPr>
      <w:rFonts w:cs="Times New Roman"/>
    </w:rPr>
  </w:style>
  <w:style w:type="paragraph" w:customStyle="1" w:styleId="Default">
    <w:name w:val="Default"/>
    <w:rsid w:val="000E6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NumCharChar1">
    <w:name w:val="ParaNum Char Char1"/>
    <w:locked/>
    <w:rsid w:val="00067A1C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