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418-0253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35061C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 TAKES FURTHER STEPS TO IMPROVE QUALITY, EXPAND AVAILABILITY OF RURAL BROADBAND</w:t>
            </w:r>
          </w:p>
          <w:p w:rsidR="00CC5E08" w:rsidRPr="008A3940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Increa</w:t>
            </w:r>
            <w:r w:rsidR="007C2285">
              <w:rPr>
                <w:b/>
                <w:bCs/>
                <w:i/>
              </w:rPr>
              <w:t>ses Support for Small Carriers a</w:t>
            </w:r>
            <w:r>
              <w:rPr>
                <w:b/>
                <w:bCs/>
                <w:i/>
              </w:rPr>
              <w:t>nd Eliminates Burdens</w:t>
            </w:r>
          </w:p>
          <w:p w:rsidR="00F61155" w:rsidRPr="006B0A70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9641F4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WASHINGTON, December 12,</w:t>
            </w:r>
            <w:r w:rsidR="00065E2D">
              <w:rPr>
                <w:sz w:val="22"/>
                <w:szCs w:val="22"/>
              </w:rPr>
              <w:t xml:space="preserve"> 2018</w:t>
            </w:r>
            <w:r w:rsidR="00D861EE">
              <w:rPr>
                <w:sz w:val="22"/>
                <w:szCs w:val="22"/>
              </w:rPr>
              <w:t>—</w:t>
            </w:r>
            <w:r w:rsidR="001465D9">
              <w:rPr>
                <w:sz w:val="22"/>
                <w:szCs w:val="22"/>
              </w:rPr>
              <w:t xml:space="preserve">Continuing its </w:t>
            </w:r>
            <w:r w:rsidR="000B7D66">
              <w:rPr>
                <w:sz w:val="22"/>
                <w:szCs w:val="22"/>
              </w:rPr>
              <w:t xml:space="preserve">effort to close the digital divide, the </w:t>
            </w:r>
            <w:r w:rsidRPr="000E049E" w:rsidR="000E049E">
              <w:rPr>
                <w:sz w:val="22"/>
                <w:szCs w:val="22"/>
              </w:rPr>
              <w:t xml:space="preserve">Federal </w:t>
            </w:r>
            <w:r w:rsidR="000B7D66">
              <w:rPr>
                <w:sz w:val="22"/>
                <w:szCs w:val="22"/>
              </w:rPr>
              <w:t xml:space="preserve">Communications Commission </w:t>
            </w:r>
            <w:r>
              <w:rPr>
                <w:sz w:val="22"/>
                <w:szCs w:val="22"/>
              </w:rPr>
              <w:t xml:space="preserve">today </w:t>
            </w:r>
            <w:r w:rsidR="000B7D66">
              <w:rPr>
                <w:sz w:val="22"/>
                <w:szCs w:val="22"/>
              </w:rPr>
              <w:t>took several st</w:t>
            </w:r>
            <w:r w:rsidR="008B20EF">
              <w:rPr>
                <w:sz w:val="22"/>
                <w:szCs w:val="22"/>
              </w:rPr>
              <w:t>e</w:t>
            </w:r>
            <w:r w:rsidR="000B7D66">
              <w:rPr>
                <w:sz w:val="22"/>
                <w:szCs w:val="22"/>
              </w:rPr>
              <w:t xml:space="preserve">ps to </w:t>
            </w:r>
            <w:r>
              <w:rPr>
                <w:sz w:val="22"/>
                <w:szCs w:val="22"/>
              </w:rPr>
              <w:t xml:space="preserve">significantly </w:t>
            </w:r>
            <w:r w:rsidR="000B7D66">
              <w:rPr>
                <w:sz w:val="22"/>
                <w:szCs w:val="22"/>
              </w:rPr>
              <w:t xml:space="preserve">improve </w:t>
            </w:r>
            <w:r>
              <w:rPr>
                <w:sz w:val="22"/>
                <w:szCs w:val="22"/>
              </w:rPr>
              <w:t xml:space="preserve">the quality and expand </w:t>
            </w:r>
            <w:r w:rsidR="000B7D66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availability of high-speed Internet service </w:t>
            </w:r>
            <w:r w:rsidR="00C94B50">
              <w:rPr>
                <w:sz w:val="22"/>
                <w:szCs w:val="22"/>
              </w:rPr>
              <w:t xml:space="preserve">in </w:t>
            </w:r>
            <w:r>
              <w:rPr>
                <w:sz w:val="22"/>
                <w:szCs w:val="22"/>
              </w:rPr>
              <w:t>rural America.</w:t>
            </w:r>
          </w:p>
          <w:p w:rsidR="009641F4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303C3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Included in these s</w:t>
            </w:r>
            <w:r>
              <w:rPr>
                <w:sz w:val="22"/>
                <w:szCs w:val="22"/>
              </w:rPr>
              <w:t xml:space="preserve">teps </w:t>
            </w:r>
            <w:r>
              <w:rPr>
                <w:sz w:val="22"/>
                <w:szCs w:val="22"/>
              </w:rPr>
              <w:t xml:space="preserve">is </w:t>
            </w:r>
            <w:r>
              <w:rPr>
                <w:sz w:val="22"/>
                <w:szCs w:val="22"/>
              </w:rPr>
              <w:t>additional f</w:t>
            </w:r>
            <w:r w:rsidR="00F66D1F">
              <w:rPr>
                <w:sz w:val="22"/>
                <w:szCs w:val="22"/>
              </w:rPr>
              <w:t>unding for the Connect</w:t>
            </w:r>
            <w:r>
              <w:rPr>
                <w:sz w:val="22"/>
                <w:szCs w:val="22"/>
              </w:rPr>
              <w:t xml:space="preserve"> </w:t>
            </w:r>
            <w:r w:rsidR="00F66D1F">
              <w:rPr>
                <w:sz w:val="22"/>
                <w:szCs w:val="22"/>
              </w:rPr>
              <w:t xml:space="preserve">America Fund, the FCC’s program that </w:t>
            </w:r>
            <w:r>
              <w:rPr>
                <w:sz w:val="22"/>
                <w:szCs w:val="22"/>
              </w:rPr>
              <w:t>help</w:t>
            </w:r>
            <w:r w:rsidR="00F66D1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256A33">
              <w:rPr>
                <w:sz w:val="22"/>
                <w:szCs w:val="22"/>
              </w:rPr>
              <w:t xml:space="preserve">expand broadband deployment and </w:t>
            </w:r>
            <w:r>
              <w:rPr>
                <w:sz w:val="22"/>
                <w:szCs w:val="22"/>
              </w:rPr>
              <w:t>make broadband service more affordable in rural areas.  In return for this increased funding, the FCC will require pro</w:t>
            </w:r>
            <w:r w:rsidR="009641F4">
              <w:rPr>
                <w:sz w:val="22"/>
                <w:szCs w:val="22"/>
              </w:rPr>
              <w:t xml:space="preserve">viders to </w:t>
            </w:r>
            <w:r>
              <w:rPr>
                <w:sz w:val="22"/>
                <w:szCs w:val="22"/>
              </w:rPr>
              <w:t xml:space="preserve">expand </w:t>
            </w:r>
            <w:r w:rsidR="00256A33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availability of </w:t>
            </w:r>
            <w:r>
              <w:rPr>
                <w:sz w:val="22"/>
                <w:szCs w:val="22"/>
              </w:rPr>
              <w:t>faster service that will better meet the needs of consumers and businesses in today’s online world.</w:t>
            </w:r>
          </w:p>
          <w:p w:rsidR="00E61DCC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E61DCC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Closing the digital divide is the FCC’s top priority.</w:t>
            </w:r>
            <w:r>
              <w:rPr>
                <w:sz w:val="22"/>
                <w:szCs w:val="22"/>
              </w:rPr>
              <w:t xml:space="preserve">  </w:t>
            </w:r>
            <w:r w:rsidR="00F66D1F">
              <w:rPr>
                <w:sz w:val="22"/>
                <w:szCs w:val="22"/>
              </w:rPr>
              <w:t xml:space="preserve">The Connect America Fund </w:t>
            </w:r>
            <w:r>
              <w:rPr>
                <w:sz w:val="22"/>
                <w:szCs w:val="22"/>
              </w:rPr>
              <w:t>is key to this effort, providing funding in sparsely populated rural areas where the cost of providing and deploying</w:t>
            </w:r>
            <w:r w:rsidR="00940033">
              <w:rPr>
                <w:sz w:val="22"/>
                <w:szCs w:val="22"/>
              </w:rPr>
              <w:t xml:space="preserve"> service</w:t>
            </w:r>
            <w:r>
              <w:rPr>
                <w:sz w:val="22"/>
                <w:szCs w:val="22"/>
              </w:rPr>
              <w:t xml:space="preserve"> can be high.</w:t>
            </w:r>
          </w:p>
          <w:p w:rsidR="00E61DCC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F74308" w:rsidP="00F74308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Today’s action </w:t>
            </w:r>
            <w:r w:rsidR="00882D2A">
              <w:rPr>
                <w:sz w:val="22"/>
                <w:szCs w:val="22"/>
              </w:rPr>
              <w:t xml:space="preserve">updates </w:t>
            </w:r>
            <w:r>
              <w:rPr>
                <w:sz w:val="22"/>
                <w:szCs w:val="22"/>
              </w:rPr>
              <w:t xml:space="preserve">the </w:t>
            </w:r>
            <w:r w:rsidR="00F66D1F">
              <w:rPr>
                <w:sz w:val="22"/>
                <w:szCs w:val="22"/>
              </w:rPr>
              <w:t xml:space="preserve">Connect America Fund </w:t>
            </w:r>
            <w:r>
              <w:rPr>
                <w:sz w:val="22"/>
                <w:szCs w:val="22"/>
              </w:rPr>
              <w:t>program</w:t>
            </w:r>
            <w:r w:rsidR="00F66D1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providing support for small, </w:t>
            </w:r>
            <w:r w:rsidR="000401A5">
              <w:rPr>
                <w:sz w:val="22"/>
                <w:szCs w:val="22"/>
              </w:rPr>
              <w:t xml:space="preserve">rural providers, </w:t>
            </w:r>
            <w:r w:rsidR="00EC518A">
              <w:rPr>
                <w:sz w:val="22"/>
                <w:szCs w:val="22"/>
              </w:rPr>
              <w:t>known as r</w:t>
            </w:r>
            <w:r>
              <w:rPr>
                <w:sz w:val="22"/>
                <w:szCs w:val="22"/>
              </w:rPr>
              <w:t>ate</w:t>
            </w:r>
            <w:r w:rsidR="00EC51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of</w:t>
            </w:r>
            <w:r w:rsidR="00EC518A">
              <w:rPr>
                <w:sz w:val="22"/>
                <w:szCs w:val="22"/>
              </w:rPr>
              <w:t>-</w:t>
            </w:r>
            <w:r w:rsidR="00F66D1F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eturn carriers, </w:t>
            </w:r>
            <w:r w:rsidR="000401A5">
              <w:rPr>
                <w:sz w:val="22"/>
                <w:szCs w:val="22"/>
              </w:rPr>
              <w:t xml:space="preserve">to </w:t>
            </w:r>
            <w:r w:rsidR="00882D2A">
              <w:rPr>
                <w:sz w:val="22"/>
                <w:szCs w:val="22"/>
              </w:rPr>
              <w:t xml:space="preserve">deliver </w:t>
            </w:r>
            <w:r>
              <w:rPr>
                <w:sz w:val="22"/>
                <w:szCs w:val="22"/>
              </w:rPr>
              <w:t xml:space="preserve">faster </w:t>
            </w:r>
            <w:r w:rsidR="00D07E84">
              <w:rPr>
                <w:sz w:val="22"/>
                <w:szCs w:val="22"/>
              </w:rPr>
              <w:t xml:space="preserve">broadband </w:t>
            </w:r>
            <w:r>
              <w:rPr>
                <w:sz w:val="22"/>
                <w:szCs w:val="22"/>
              </w:rPr>
              <w:t xml:space="preserve">speeds and expanded coverage </w:t>
            </w:r>
            <w:r w:rsidR="000401A5">
              <w:rPr>
                <w:sz w:val="22"/>
                <w:szCs w:val="22"/>
              </w:rPr>
              <w:t xml:space="preserve">in rural areas. In return for additional funding, </w:t>
            </w:r>
            <w:r>
              <w:rPr>
                <w:sz w:val="22"/>
                <w:szCs w:val="22"/>
              </w:rPr>
              <w:t>the FCC will require providers to expand availability of service offering downloads of at least 25</w:t>
            </w:r>
            <w:r w:rsidR="00D07E8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Mbps</w:t>
            </w:r>
            <w:r>
              <w:rPr>
                <w:sz w:val="22"/>
                <w:szCs w:val="22"/>
              </w:rPr>
              <w:t xml:space="preserve"> </w:t>
            </w:r>
            <w:r w:rsidR="00D07E84">
              <w:rPr>
                <w:sz w:val="22"/>
                <w:szCs w:val="22"/>
              </w:rPr>
              <w:t>service</w:t>
            </w:r>
            <w:r>
              <w:rPr>
                <w:sz w:val="22"/>
                <w:szCs w:val="22"/>
              </w:rPr>
              <w:t xml:space="preserve">, compared to the current 10/1 </w:t>
            </w:r>
            <w:r w:rsidR="00882D2A">
              <w:rPr>
                <w:sz w:val="22"/>
                <w:szCs w:val="22"/>
              </w:rPr>
              <w:t>Mbps</w:t>
            </w:r>
            <w:r w:rsidR="00882D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standard.</w:t>
            </w:r>
            <w:r w:rsidR="00882D2A">
              <w:rPr>
                <w:sz w:val="22"/>
                <w:szCs w:val="22"/>
              </w:rPr>
              <w:t xml:space="preserve"> Updates include:</w:t>
            </w:r>
          </w:p>
          <w:p w:rsidR="00F74308" w:rsidP="00F74308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E61DCC" w:rsidP="00E61DCC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Offering up to $67 million</w:t>
            </w:r>
            <w:r w:rsidR="00E14F69">
              <w:rPr>
                <w:sz w:val="22"/>
                <w:szCs w:val="22"/>
              </w:rPr>
              <w:t xml:space="preserve"> a year</w:t>
            </w:r>
            <w:r>
              <w:rPr>
                <w:sz w:val="22"/>
                <w:szCs w:val="22"/>
              </w:rPr>
              <w:t xml:space="preserve"> in </w:t>
            </w:r>
            <w:r w:rsidR="00940033">
              <w:rPr>
                <w:sz w:val="22"/>
                <w:szCs w:val="22"/>
              </w:rPr>
              <w:t xml:space="preserve">additional </w:t>
            </w:r>
            <w:r>
              <w:rPr>
                <w:sz w:val="22"/>
                <w:szCs w:val="22"/>
              </w:rPr>
              <w:t xml:space="preserve">support </w:t>
            </w:r>
            <w:r w:rsidR="000401A5">
              <w:rPr>
                <w:sz w:val="22"/>
                <w:szCs w:val="22"/>
              </w:rPr>
              <w:t xml:space="preserve">for carriers receiving funding </w:t>
            </w:r>
            <w:r>
              <w:rPr>
                <w:sz w:val="22"/>
                <w:szCs w:val="22"/>
              </w:rPr>
              <w:t xml:space="preserve">through the </w:t>
            </w:r>
            <w:r w:rsidR="000401A5">
              <w:rPr>
                <w:sz w:val="22"/>
                <w:szCs w:val="22"/>
              </w:rPr>
              <w:t xml:space="preserve">Connect America Fund’s </w:t>
            </w:r>
            <w:r>
              <w:rPr>
                <w:sz w:val="22"/>
                <w:szCs w:val="22"/>
              </w:rPr>
              <w:t xml:space="preserve">Alternative Connect America Cost Model, or A-CAM.  This revised offer alone has the potential to increase </w:t>
            </w:r>
            <w:r w:rsidR="00882443">
              <w:rPr>
                <w:sz w:val="22"/>
                <w:szCs w:val="22"/>
              </w:rPr>
              <w:t xml:space="preserve">by 100,000 </w:t>
            </w:r>
            <w:r>
              <w:rPr>
                <w:sz w:val="22"/>
                <w:szCs w:val="22"/>
              </w:rPr>
              <w:t>the number of rural homes and business</w:t>
            </w:r>
            <w:r w:rsidR="00882443">
              <w:rPr>
                <w:sz w:val="22"/>
                <w:szCs w:val="22"/>
              </w:rPr>
              <w:t xml:space="preserve">es </w:t>
            </w:r>
            <w:r w:rsidR="00A23D14">
              <w:rPr>
                <w:sz w:val="22"/>
                <w:szCs w:val="22"/>
              </w:rPr>
              <w:t xml:space="preserve">with access to </w:t>
            </w:r>
            <w:r w:rsidR="00882443">
              <w:rPr>
                <w:sz w:val="22"/>
                <w:szCs w:val="22"/>
              </w:rPr>
              <w:t xml:space="preserve">25/3 </w:t>
            </w:r>
            <w:r w:rsidR="00B2539F">
              <w:rPr>
                <w:sz w:val="22"/>
                <w:szCs w:val="22"/>
              </w:rPr>
              <w:t>Mbps</w:t>
            </w:r>
            <w:r w:rsidR="00B2539F">
              <w:rPr>
                <w:sz w:val="22"/>
                <w:szCs w:val="22"/>
              </w:rPr>
              <w:t xml:space="preserve"> </w:t>
            </w:r>
            <w:r w:rsidR="00882443">
              <w:rPr>
                <w:sz w:val="22"/>
                <w:szCs w:val="22"/>
              </w:rPr>
              <w:t>service</w:t>
            </w:r>
            <w:r w:rsidR="00EC518A">
              <w:rPr>
                <w:sz w:val="22"/>
                <w:szCs w:val="22"/>
              </w:rPr>
              <w:t>.</w:t>
            </w:r>
          </w:p>
          <w:p w:rsidR="009641F4" w:rsidP="00E61DCC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Opening a new window for carriers receiving support through legacy</w:t>
            </w:r>
            <w:r w:rsidR="00F66D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mechanisms to </w:t>
            </w:r>
            <w:r w:rsidR="002054A2">
              <w:rPr>
                <w:sz w:val="22"/>
                <w:szCs w:val="22"/>
              </w:rPr>
              <w:t xml:space="preserve">voluntarily move to model-based </w:t>
            </w:r>
            <w:r>
              <w:rPr>
                <w:sz w:val="22"/>
                <w:szCs w:val="22"/>
              </w:rPr>
              <w:t>support through the A-CAM</w:t>
            </w:r>
            <w:r w:rsidR="00C25262">
              <w:rPr>
                <w:sz w:val="22"/>
                <w:szCs w:val="22"/>
              </w:rPr>
              <w:t xml:space="preserve"> II</w:t>
            </w:r>
            <w:r>
              <w:rPr>
                <w:sz w:val="22"/>
                <w:szCs w:val="22"/>
              </w:rPr>
              <w:t xml:space="preserve"> </w:t>
            </w:r>
            <w:r w:rsidR="00C25262">
              <w:rPr>
                <w:sz w:val="22"/>
                <w:szCs w:val="22"/>
              </w:rPr>
              <w:t>offer</w:t>
            </w:r>
            <w:r w:rsidRPr="00F94BA0" w:rsidR="00EC518A">
              <w:rPr>
                <w:sz w:val="22"/>
                <w:szCs w:val="22"/>
              </w:rPr>
              <w:t xml:space="preserve">, </w:t>
            </w:r>
            <w:r w:rsidRPr="00F94BA0" w:rsidR="00882D2A">
              <w:rPr>
                <w:sz w:val="22"/>
                <w:szCs w:val="22"/>
              </w:rPr>
              <w:t xml:space="preserve">which </w:t>
            </w:r>
            <w:r w:rsidRPr="00F94BA0" w:rsidR="007B354D">
              <w:rPr>
                <w:sz w:val="22"/>
                <w:szCs w:val="22"/>
              </w:rPr>
              <w:t>incentivizes</w:t>
            </w:r>
            <w:r w:rsidRPr="00F94BA0" w:rsidR="00882D2A">
              <w:rPr>
                <w:sz w:val="22"/>
                <w:szCs w:val="22"/>
              </w:rPr>
              <w:t xml:space="preserve"> </w:t>
            </w:r>
            <w:r w:rsidRPr="00F94BA0" w:rsidR="00B117AE">
              <w:rPr>
                <w:sz w:val="22"/>
                <w:szCs w:val="22"/>
              </w:rPr>
              <w:t>deployment</w:t>
            </w:r>
            <w:r w:rsidRPr="00F94BA0" w:rsidR="00013FED">
              <w:rPr>
                <w:sz w:val="22"/>
                <w:szCs w:val="22"/>
              </w:rPr>
              <w:t xml:space="preserve"> while reducing reg</w:t>
            </w:r>
            <w:r w:rsidRPr="00F94BA0" w:rsidR="002077F1">
              <w:rPr>
                <w:sz w:val="22"/>
                <w:szCs w:val="22"/>
              </w:rPr>
              <w:t xml:space="preserve">ulatory </w:t>
            </w:r>
            <w:r w:rsidRPr="00F94BA0" w:rsidR="00BB5D7D">
              <w:rPr>
                <w:sz w:val="22"/>
                <w:szCs w:val="22"/>
              </w:rPr>
              <w:t>burdens</w:t>
            </w:r>
            <w:r w:rsidRPr="00F94BA0" w:rsidR="00EC518A">
              <w:rPr>
                <w:sz w:val="22"/>
                <w:szCs w:val="22"/>
              </w:rPr>
              <w:t xml:space="preserve">.  </w:t>
            </w:r>
            <w:r w:rsidRPr="00F94BA0">
              <w:rPr>
                <w:sz w:val="22"/>
                <w:szCs w:val="22"/>
              </w:rPr>
              <w:t xml:space="preserve">In return, these </w:t>
            </w:r>
            <w:r w:rsidRPr="00F94BA0" w:rsidR="00882443">
              <w:rPr>
                <w:sz w:val="22"/>
                <w:szCs w:val="22"/>
              </w:rPr>
              <w:t xml:space="preserve">carriers would be required to provide 25/3 </w:t>
            </w:r>
            <w:r w:rsidRPr="00F94BA0" w:rsidR="00B2539F">
              <w:rPr>
                <w:sz w:val="22"/>
                <w:szCs w:val="22"/>
              </w:rPr>
              <w:t>Mbps</w:t>
            </w:r>
            <w:r w:rsidRPr="00F94BA0" w:rsidR="00B2539F">
              <w:rPr>
                <w:sz w:val="22"/>
                <w:szCs w:val="22"/>
              </w:rPr>
              <w:t xml:space="preserve"> </w:t>
            </w:r>
            <w:r w:rsidRPr="00F94BA0" w:rsidR="00882443">
              <w:rPr>
                <w:sz w:val="22"/>
                <w:szCs w:val="22"/>
              </w:rPr>
              <w:t>service to all homes and businesses</w:t>
            </w:r>
            <w:r w:rsidR="00882443">
              <w:rPr>
                <w:sz w:val="22"/>
                <w:szCs w:val="22"/>
              </w:rPr>
              <w:t xml:space="preserve"> whose costs are fully </w:t>
            </w:r>
            <w:r w:rsidR="00C25262">
              <w:rPr>
                <w:sz w:val="22"/>
                <w:szCs w:val="22"/>
              </w:rPr>
              <w:t xml:space="preserve">funded </w:t>
            </w:r>
            <w:r w:rsidR="00882443">
              <w:rPr>
                <w:sz w:val="22"/>
                <w:szCs w:val="22"/>
              </w:rPr>
              <w:t xml:space="preserve">through </w:t>
            </w:r>
            <w:r w:rsidR="00AC6BCB">
              <w:rPr>
                <w:sz w:val="22"/>
                <w:szCs w:val="22"/>
              </w:rPr>
              <w:t xml:space="preserve">the A-CAM </w:t>
            </w:r>
            <w:r w:rsidR="00C25262">
              <w:rPr>
                <w:sz w:val="22"/>
                <w:szCs w:val="22"/>
              </w:rPr>
              <w:t>cost model</w:t>
            </w:r>
            <w:r w:rsidR="00AC6BCB">
              <w:rPr>
                <w:sz w:val="22"/>
                <w:szCs w:val="22"/>
              </w:rPr>
              <w:t>.</w:t>
            </w:r>
          </w:p>
          <w:p w:rsidR="00882443" w:rsidP="00E61DCC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Increasing the $1.4 billion </w:t>
            </w:r>
            <w:r w:rsidR="00A23D14">
              <w:rPr>
                <w:sz w:val="22"/>
                <w:szCs w:val="22"/>
              </w:rPr>
              <w:t xml:space="preserve">annual </w:t>
            </w:r>
            <w:r>
              <w:rPr>
                <w:sz w:val="22"/>
                <w:szCs w:val="22"/>
              </w:rPr>
              <w:t xml:space="preserve">budget for carriers </w:t>
            </w:r>
            <w:r w:rsidR="00BB5D7D">
              <w:rPr>
                <w:sz w:val="22"/>
                <w:szCs w:val="22"/>
              </w:rPr>
              <w:t xml:space="preserve">that continue to get </w:t>
            </w:r>
            <w:r>
              <w:rPr>
                <w:sz w:val="22"/>
                <w:szCs w:val="22"/>
              </w:rPr>
              <w:t xml:space="preserve">support from legacy mechanisms by </w:t>
            </w:r>
            <w:r w:rsidR="00EC518A">
              <w:rPr>
                <w:sz w:val="22"/>
                <w:szCs w:val="22"/>
              </w:rPr>
              <w:t xml:space="preserve">initiating an annual inflation adjustment, </w:t>
            </w:r>
            <w:r>
              <w:rPr>
                <w:sz w:val="22"/>
                <w:szCs w:val="22"/>
              </w:rPr>
              <w:t xml:space="preserve">eliminating 2018 cuts mandated by </w:t>
            </w:r>
            <w:r w:rsidR="00EC518A">
              <w:rPr>
                <w:sz w:val="22"/>
                <w:szCs w:val="22"/>
              </w:rPr>
              <w:t>budgetary rules</w:t>
            </w:r>
            <w:r w:rsidR="004F520B">
              <w:rPr>
                <w:sz w:val="22"/>
                <w:szCs w:val="22"/>
              </w:rPr>
              <w:t xml:space="preserve"> established under the prior Administration</w:t>
            </w:r>
            <w:r w:rsidR="00EC518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and setting a </w:t>
            </w:r>
            <w:r w:rsidR="00EC518A">
              <w:rPr>
                <w:sz w:val="22"/>
                <w:szCs w:val="22"/>
              </w:rPr>
              <w:t>guaranteed f</w:t>
            </w:r>
            <w:r>
              <w:rPr>
                <w:sz w:val="22"/>
                <w:szCs w:val="22"/>
              </w:rPr>
              <w:t xml:space="preserve">loor of </w:t>
            </w:r>
            <w:r w:rsidR="00EC518A">
              <w:rPr>
                <w:sz w:val="22"/>
                <w:szCs w:val="22"/>
              </w:rPr>
              <w:t xml:space="preserve">minimum </w:t>
            </w:r>
            <w:r>
              <w:rPr>
                <w:sz w:val="22"/>
                <w:szCs w:val="22"/>
              </w:rPr>
              <w:t xml:space="preserve">support for each carrier. </w:t>
            </w:r>
            <w:r w:rsidR="004F52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return, legacy providers would be required to expand deployment of 25/3 </w:t>
            </w:r>
            <w:r w:rsidR="00B2539F">
              <w:rPr>
                <w:sz w:val="22"/>
                <w:szCs w:val="22"/>
              </w:rPr>
              <w:t>Mbps</w:t>
            </w:r>
            <w:r w:rsidR="00B253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service.</w:t>
            </w:r>
          </w:p>
          <w:p w:rsidR="00882443" w:rsidP="00882443">
            <w:pPr>
              <w:pStyle w:val="ListParagraph"/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F66D1F" w:rsidP="00882443">
            <w:pPr>
              <w:pStyle w:val="ListParagraph"/>
              <w:tabs>
                <w:tab w:val="left" w:pos="864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 the same time, the Report and Order </w:t>
            </w:r>
            <w:r w:rsidR="003A7D86">
              <w:rPr>
                <w:sz w:val="22"/>
                <w:szCs w:val="22"/>
              </w:rPr>
              <w:t xml:space="preserve">combats </w:t>
            </w:r>
            <w:r w:rsidR="00AC6BCB">
              <w:rPr>
                <w:sz w:val="22"/>
                <w:szCs w:val="22"/>
              </w:rPr>
              <w:t xml:space="preserve">waste </w:t>
            </w:r>
            <w:r w:rsidR="00BB5D7D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y reducing the maximum per-line subsidy </w:t>
            </w:r>
            <w:r w:rsidR="00BB5D7D">
              <w:rPr>
                <w:sz w:val="22"/>
                <w:szCs w:val="22"/>
              </w:rPr>
              <w:t xml:space="preserve">in the legacy program </w:t>
            </w:r>
            <w:r>
              <w:rPr>
                <w:sz w:val="22"/>
                <w:szCs w:val="22"/>
              </w:rPr>
              <w:t xml:space="preserve">from </w:t>
            </w:r>
            <w:r w:rsidR="00EC518A">
              <w:rPr>
                <w:sz w:val="22"/>
                <w:szCs w:val="22"/>
              </w:rPr>
              <w:t>the current $25</w:t>
            </w:r>
            <w:r w:rsidR="00B82041">
              <w:rPr>
                <w:sz w:val="22"/>
                <w:szCs w:val="22"/>
              </w:rPr>
              <w:t xml:space="preserve">0 to $200 by July of 2021.  It also </w:t>
            </w:r>
            <w:r w:rsidR="00B82041">
              <w:rPr>
                <w:sz w:val="22"/>
                <w:szCs w:val="22"/>
              </w:rPr>
              <w:t>eliminates a burdensome capital expenditures allowance rule, which failed to incentivize investment by comp</w:t>
            </w:r>
            <w:r w:rsidR="00AC6BCB">
              <w:rPr>
                <w:sz w:val="22"/>
                <w:szCs w:val="22"/>
              </w:rPr>
              <w:t xml:space="preserve">anies where it had been lacking or </w:t>
            </w:r>
            <w:r w:rsidR="00B2539F">
              <w:rPr>
                <w:sz w:val="22"/>
                <w:szCs w:val="22"/>
              </w:rPr>
              <w:t xml:space="preserve">to </w:t>
            </w:r>
            <w:r w:rsidR="00AC6BCB">
              <w:rPr>
                <w:sz w:val="22"/>
                <w:szCs w:val="22"/>
              </w:rPr>
              <w:t>rein in significant waste.</w:t>
            </w:r>
          </w:p>
          <w:p w:rsidR="00AC6BCB" w:rsidP="00882443">
            <w:pPr>
              <w:pStyle w:val="ListParagraph"/>
              <w:tabs>
                <w:tab w:val="left" w:pos="8640"/>
              </w:tabs>
              <w:ind w:left="0"/>
              <w:rPr>
                <w:sz w:val="22"/>
                <w:szCs w:val="22"/>
              </w:rPr>
            </w:pPr>
          </w:p>
          <w:p w:rsidR="00850E26" w:rsidRPr="00A225A9" w:rsidP="007047BB">
            <w:pPr>
              <w:pStyle w:val="ListParagraph"/>
              <w:tabs>
                <w:tab w:val="left" w:pos="8640"/>
              </w:tabs>
              <w:ind w:left="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 xml:space="preserve">The Report and Order also </w:t>
            </w:r>
            <w:r w:rsidR="000B19BF">
              <w:rPr>
                <w:sz w:val="22"/>
                <w:szCs w:val="22"/>
              </w:rPr>
              <w:t>determines that a market</w:t>
            </w:r>
            <w:r>
              <w:rPr>
                <w:sz w:val="22"/>
                <w:szCs w:val="22"/>
              </w:rPr>
              <w:t>-</w:t>
            </w:r>
            <w:r w:rsidR="000B19BF">
              <w:rPr>
                <w:sz w:val="22"/>
                <w:szCs w:val="22"/>
              </w:rPr>
              <w:t xml:space="preserve">based auction </w:t>
            </w:r>
            <w:r w:rsidR="003A7D86">
              <w:rPr>
                <w:sz w:val="22"/>
                <w:szCs w:val="22"/>
              </w:rPr>
              <w:t xml:space="preserve">can best </w:t>
            </w:r>
            <w:r>
              <w:rPr>
                <w:sz w:val="22"/>
                <w:szCs w:val="22"/>
              </w:rPr>
              <w:t xml:space="preserve">eliminate wasteful </w:t>
            </w:r>
            <w:r w:rsidR="00F66D1F">
              <w:rPr>
                <w:sz w:val="22"/>
                <w:szCs w:val="22"/>
              </w:rPr>
              <w:t xml:space="preserve">subsidies </w:t>
            </w:r>
            <w:r>
              <w:rPr>
                <w:sz w:val="22"/>
                <w:szCs w:val="22"/>
              </w:rPr>
              <w:t>to legacy providers serving a</w:t>
            </w:r>
            <w:r w:rsidR="00F66D1F">
              <w:rPr>
                <w:sz w:val="22"/>
                <w:szCs w:val="22"/>
              </w:rPr>
              <w:t xml:space="preserve">reas </w:t>
            </w:r>
            <w:r>
              <w:rPr>
                <w:sz w:val="22"/>
                <w:szCs w:val="22"/>
              </w:rPr>
              <w:t xml:space="preserve">that </w:t>
            </w:r>
            <w:r w:rsidR="00F66D1F">
              <w:rPr>
                <w:sz w:val="22"/>
                <w:szCs w:val="22"/>
              </w:rPr>
              <w:t>are entirely or almost entirely overlapped by unsubsidized providers.  Eliminating unnecessary support in such areas could save the Fun</w:t>
            </w:r>
            <w:r w:rsidR="00882D2A">
              <w:rPr>
                <w:sz w:val="22"/>
                <w:szCs w:val="22"/>
              </w:rPr>
              <w:t xml:space="preserve">d up to </w:t>
            </w:r>
            <w:r w:rsidR="00F66D1F">
              <w:rPr>
                <w:sz w:val="22"/>
                <w:szCs w:val="22"/>
              </w:rPr>
              <w:t xml:space="preserve">$12 million annually. </w:t>
            </w:r>
            <w:r w:rsidR="00B82041">
              <w:rPr>
                <w:sz w:val="22"/>
                <w:szCs w:val="22"/>
              </w:rPr>
              <w:t xml:space="preserve">The item includes a </w:t>
            </w:r>
            <w:r w:rsidR="00C25262">
              <w:rPr>
                <w:sz w:val="22"/>
                <w:szCs w:val="22"/>
              </w:rPr>
              <w:t xml:space="preserve">Further </w:t>
            </w:r>
            <w:r w:rsidR="00B82041">
              <w:rPr>
                <w:sz w:val="22"/>
                <w:szCs w:val="22"/>
              </w:rPr>
              <w:t xml:space="preserve">Notice of Proposed Rulemaking seeking comment on </w:t>
            </w:r>
            <w:r w:rsidR="00F66D1F">
              <w:rPr>
                <w:sz w:val="22"/>
                <w:szCs w:val="22"/>
              </w:rPr>
              <w:t>how to structure such an auction</w:t>
            </w:r>
            <w:r w:rsidR="00C25262">
              <w:rPr>
                <w:sz w:val="22"/>
                <w:szCs w:val="22"/>
              </w:rPr>
              <w:t>, as well how to address conversions to broadband-only lines and whether to include a Tribal Broadband Factor for legacy carriers</w:t>
            </w:r>
            <w:r w:rsidR="00F66D1F">
              <w:rPr>
                <w:sz w:val="22"/>
                <w:szCs w:val="22"/>
              </w:rPr>
              <w:t>.</w:t>
            </w:r>
            <w:r w:rsidRPr="00E61DCC" w:rsidR="00F66D1F">
              <w:rPr>
                <w:sz w:val="22"/>
                <w:szCs w:val="22"/>
              </w:rPr>
              <w:t xml:space="preserve"> </w:t>
            </w:r>
          </w:p>
          <w:p w:rsidR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A710E5" w:rsidRPr="00A710E5" w:rsidP="00A710E5">
            <w:pPr>
              <w:rPr>
                <w:sz w:val="22"/>
                <w:szCs w:val="22"/>
              </w:rPr>
            </w:pPr>
            <w:r w:rsidRPr="00A710E5">
              <w:rPr>
                <w:sz w:val="22"/>
                <w:szCs w:val="22"/>
              </w:rPr>
              <w:t>Action by the Commission December 12, 2018 by Report and Order, Further Notice of Proposed Rulemaking, and Order on Reconsideration (FCC 18-176).  Chairman Pai, Commissioners O’Rielly, Carr, and Rosenworcel</w:t>
            </w:r>
            <w:r>
              <w:rPr>
                <w:sz w:val="22"/>
                <w:szCs w:val="22"/>
              </w:rPr>
              <w:t xml:space="preserve"> approving and </w:t>
            </w:r>
            <w:r w:rsidRPr="00A710E5">
              <w:rPr>
                <w:sz w:val="22"/>
                <w:szCs w:val="22"/>
              </w:rPr>
              <w:t>issuing separate statements.</w:t>
            </w:r>
          </w:p>
          <w:p w:rsidR="00A710E5" w:rsidRPr="00A710E5" w:rsidP="00A710E5">
            <w:pPr>
              <w:rPr>
                <w:sz w:val="22"/>
                <w:szCs w:val="22"/>
              </w:rPr>
            </w:pPr>
          </w:p>
          <w:p w:rsidR="00A710E5" w:rsidRPr="00A710E5" w:rsidP="00A710E5">
            <w:pPr>
              <w:rPr>
                <w:sz w:val="22"/>
                <w:szCs w:val="22"/>
              </w:rPr>
            </w:pPr>
            <w:r w:rsidRPr="00A710E5">
              <w:rPr>
                <w:sz w:val="22"/>
                <w:szCs w:val="22"/>
              </w:rPr>
              <w:t>WC Docket Nos. 10-90, 14-58, 07-135; CC Docket No. 01-92</w:t>
            </w:r>
          </w:p>
          <w:p w:rsidR="00A710E5" w:rsidRPr="00A225A9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44DF5033"/>
    <w:multiLevelType w:val="hybridMultilevel"/>
    <w:tmpl w:val="F4AC11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FootnoteText">
    <w:name w:val="footnote text"/>
    <w:aliases w:val="ALTS FOOTNOTE,ALTS FOOTNOTE Char,FOOT,Footnote Text Char Char... + Italic,Footnote Text Char2 Char,Footnote Text Char2 Char1 Char1 Char,Footnote Text Char2 Char1 Char1 Char Char Char,Footnote Text Char3 Char1 Char,f,fn"/>
    <w:link w:val="FootnoteTextChar1"/>
    <w:rsid w:val="001465D9"/>
    <w:pPr>
      <w:spacing w:after="120"/>
    </w:pPr>
  </w:style>
  <w:style w:type="character" w:customStyle="1" w:styleId="FootnoteTextChar">
    <w:name w:val="Footnote Text Char"/>
    <w:basedOn w:val="DefaultParagraphFont"/>
    <w:semiHidden/>
    <w:rsid w:val="001465D9"/>
  </w:style>
  <w:style w:type="character" w:customStyle="1" w:styleId="FootnoteTextChar1">
    <w:name w:val="Footnote Text Char1"/>
    <w:aliases w:val="ALTS FOOTNOTE Char Char,ALTS FOOTNOTE Char1,FOOT Char,Footnote Text Char Char... + Italic Char,Footnote Text Char2 Char Char,Footnote Text Char2 Char1 Char1 Char Char,Footnote Text Char2 Char1 Char1 Char Char Char Char,f Char,fn Char"/>
    <w:link w:val="FootnoteText"/>
    <w:locked/>
    <w:rsid w:val="001465D9"/>
  </w:style>
  <w:style w:type="paragraph" w:styleId="ListParagraph">
    <w:name w:val="List Paragraph"/>
    <w:basedOn w:val="Normal"/>
    <w:uiPriority w:val="34"/>
    <w:qFormat/>
    <w:rsid w:val="00E61DC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B20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B20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253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5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53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5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5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