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35061C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RELEASES FIRST COMMUNICATIONS MARKETPLACE REPORT UNDER RAY BAUM’S ACT</w:t>
            </w:r>
          </w:p>
          <w:p w:rsidR="00CC5E08" w:rsidRPr="008A3940" w:rsidP="0076281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Report Provides Comprehensive Overview of Marketplace in One Report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50E26" w:rsidP="008F30C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December 12,</w:t>
            </w:r>
            <w:r>
              <w:rPr>
                <w:sz w:val="22"/>
                <w:szCs w:val="22"/>
              </w:rPr>
              <w:t xml:space="preserve"> 2018</w:t>
            </w: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today </w:t>
            </w:r>
            <w:r>
              <w:rPr>
                <w:sz w:val="22"/>
                <w:szCs w:val="22"/>
              </w:rPr>
              <w:t xml:space="preserve">adopted </w:t>
            </w:r>
            <w:r>
              <w:rPr>
                <w:sz w:val="22"/>
                <w:szCs w:val="22"/>
              </w:rPr>
              <w:t>its first Communications Marketplace Report, which provides a comprehensive evaluation of the state of the communications marketplace.</w:t>
            </w:r>
          </w:p>
          <w:p w:rsidR="00935D12" w:rsidP="008F30C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C3AE6" w:rsidP="008F30C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re</w:t>
            </w:r>
            <w:r>
              <w:rPr>
                <w:sz w:val="22"/>
                <w:szCs w:val="22"/>
              </w:rPr>
              <w:t>quired by Title IV of RAY BAUM’S</w:t>
            </w:r>
            <w:r>
              <w:rPr>
                <w:sz w:val="22"/>
                <w:szCs w:val="22"/>
              </w:rPr>
              <w:t xml:space="preserve"> Act of 2018, the report consolidates several separate reports to address the state of the broader communications marketplace in one place.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a</w:t>
            </w:r>
            <w:r>
              <w:rPr>
                <w:sz w:val="22"/>
                <w:szCs w:val="22"/>
              </w:rPr>
              <w:t xml:space="preserve">s mandated by Congress, this report will be issued every two years.  </w:t>
            </w:r>
            <w:r w:rsidRPr="00D82A0B">
              <w:rPr>
                <w:sz w:val="22"/>
                <w:szCs w:val="22"/>
              </w:rPr>
              <w:t xml:space="preserve">In total, </w:t>
            </w:r>
            <w:r>
              <w:rPr>
                <w:sz w:val="22"/>
                <w:szCs w:val="22"/>
              </w:rPr>
              <w:t>10 separate regularly recurring</w:t>
            </w:r>
            <w:r>
              <w:rPr>
                <w:sz w:val="22"/>
                <w:szCs w:val="22"/>
              </w:rPr>
              <w:t xml:space="preserve"> Commission reports were </w:t>
            </w:r>
            <w:r>
              <w:rPr>
                <w:sz w:val="22"/>
                <w:szCs w:val="22"/>
              </w:rPr>
              <w:t>eliminated</w:t>
            </w:r>
            <w:r>
              <w:rPr>
                <w:sz w:val="22"/>
                <w:szCs w:val="22"/>
              </w:rPr>
              <w:t xml:space="preserve"> or materially modified, and </w:t>
            </w:r>
            <w:r>
              <w:rPr>
                <w:sz w:val="22"/>
                <w:szCs w:val="22"/>
              </w:rPr>
              <w:t xml:space="preserve">relevant </w:t>
            </w:r>
            <w:r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has now been </w:t>
            </w:r>
            <w:r>
              <w:rPr>
                <w:sz w:val="22"/>
                <w:szCs w:val="22"/>
              </w:rPr>
              <w:t>consolidated into a single, comprehensive report.</w:t>
            </w:r>
          </w:p>
          <w:p w:rsidR="002C3AE6" w:rsidP="008F30C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F30C7" w:rsidP="002771E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report provides:</w:t>
            </w:r>
            <w:r>
              <w:rPr>
                <w:sz w:val="22"/>
                <w:szCs w:val="22"/>
              </w:rPr>
              <w:t xml:space="preserve"> </w:t>
            </w:r>
          </w:p>
          <w:p w:rsidR="00525790" w:rsidP="002771E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F30C7" w:rsidRPr="00745F99" w:rsidP="002771E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 xml:space="preserve">Increased transparency.  By consolidating numerous Commission reports, which </w:t>
            </w:r>
            <w:r>
              <w:rPr>
                <w:sz w:val="22"/>
                <w:szCs w:val="22"/>
              </w:rPr>
              <w:t>had been</w:t>
            </w:r>
            <w:r w:rsidRPr="00745F99">
              <w:rPr>
                <w:sz w:val="22"/>
                <w:szCs w:val="22"/>
              </w:rPr>
              <w:t xml:space="preserve"> </w:t>
            </w:r>
            <w:r w:rsidRPr="00745F99">
              <w:rPr>
                <w:sz w:val="22"/>
                <w:szCs w:val="22"/>
              </w:rPr>
              <w:t>is</w:t>
            </w:r>
            <w:r w:rsidRPr="00745F99">
              <w:rPr>
                <w:sz w:val="22"/>
                <w:szCs w:val="22"/>
              </w:rPr>
              <w:t xml:space="preserve">sued separately and posted separately, data is </w:t>
            </w:r>
            <w:r>
              <w:rPr>
                <w:sz w:val="22"/>
                <w:szCs w:val="22"/>
              </w:rPr>
              <w:t xml:space="preserve">now </w:t>
            </w:r>
            <w:r w:rsidRPr="00745F99">
              <w:rPr>
                <w:sz w:val="22"/>
                <w:szCs w:val="22"/>
              </w:rPr>
              <w:t>easier to find</w:t>
            </w:r>
            <w:r w:rsidRPr="00745F99">
              <w:rPr>
                <w:sz w:val="22"/>
                <w:szCs w:val="22"/>
              </w:rPr>
              <w:t>, review, and use.</w:t>
            </w:r>
          </w:p>
          <w:p w:rsidR="008F30C7" w:rsidRPr="00745F99" w:rsidP="002771E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 xml:space="preserve">A holistic overview of competition </w:t>
            </w:r>
            <w:r w:rsidRPr="00745F99">
              <w:rPr>
                <w:sz w:val="22"/>
                <w:szCs w:val="22"/>
              </w:rPr>
              <w:t xml:space="preserve">across all communications marketplaces: </w:t>
            </w:r>
            <w:r w:rsidRPr="00745F99">
              <w:rPr>
                <w:sz w:val="22"/>
                <w:szCs w:val="22"/>
              </w:rPr>
              <w:t>mobile wireless</w:t>
            </w:r>
            <w:r w:rsidRPr="00745F99">
              <w:rPr>
                <w:sz w:val="22"/>
                <w:szCs w:val="22"/>
              </w:rPr>
              <w:t xml:space="preserve">, </w:t>
            </w:r>
            <w:r w:rsidRPr="00745F99">
              <w:rPr>
                <w:sz w:val="22"/>
                <w:szCs w:val="22"/>
              </w:rPr>
              <w:t>fixed broadband, audio, video, and satellite communications markets.</w:t>
            </w:r>
          </w:p>
          <w:p w:rsidR="008F30C7" w:rsidRPr="00745F99" w:rsidP="002771E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>An assessme</w:t>
            </w:r>
            <w:r w:rsidRPr="00745F99">
              <w:rPr>
                <w:sz w:val="22"/>
                <w:szCs w:val="22"/>
              </w:rPr>
              <w:t>nt of the state of deployment of communications capabilities.</w:t>
            </w:r>
          </w:p>
          <w:p w:rsidR="008F30C7" w:rsidRPr="00745F99" w:rsidP="002771E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>An assessment of barriers to competitive entry, including market entry barriers for entrepreneurs and other small businesses.</w:t>
            </w:r>
          </w:p>
          <w:p w:rsidR="008F30C7" w:rsidRPr="00745F99" w:rsidP="002771E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>A compilation of geographic areas that are not served by any provide</w:t>
            </w:r>
            <w:r w:rsidRPr="00745F99">
              <w:rPr>
                <w:sz w:val="22"/>
                <w:szCs w:val="22"/>
              </w:rPr>
              <w:t>r of advanced telecommunications capabilities.</w:t>
            </w:r>
          </w:p>
          <w:p w:rsidR="008F30C7" w:rsidRPr="00745F99" w:rsidP="002771E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>A description of the Commission’s actions to address challenges and opportunities in the communications marketplace during the previous two years.</w:t>
            </w:r>
          </w:p>
          <w:p w:rsidR="002771ED" w:rsidP="002771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>A discussion of t</w:t>
            </w:r>
            <w:r w:rsidRPr="00745F99">
              <w:rPr>
                <w:sz w:val="22"/>
                <w:szCs w:val="22"/>
              </w:rPr>
              <w:t>he Commission’s agenda for continuing to addr</w:t>
            </w:r>
            <w:r w:rsidRPr="00745F99">
              <w:rPr>
                <w:sz w:val="22"/>
                <w:szCs w:val="22"/>
              </w:rPr>
              <w:t>ess those challenges and opportunities over the next two years.</w:t>
            </w:r>
          </w:p>
          <w:p w:rsidR="00BD19E8" w:rsidP="002771ED">
            <w:pPr>
              <w:pStyle w:val="ListParagraph"/>
              <w:rPr>
                <w:sz w:val="22"/>
                <w:szCs w:val="22"/>
              </w:rPr>
            </w:pPr>
            <w:r w:rsidRPr="00745F99">
              <w:rPr>
                <w:sz w:val="22"/>
                <w:szCs w:val="22"/>
              </w:rPr>
              <w:t xml:space="preserve"> </w:t>
            </w:r>
          </w:p>
          <w:p w:rsidR="002771ED" w:rsidRPr="002771ED" w:rsidP="002771E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771ED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December 12, 2018 by Report (FCC 18-181).  Chairm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 Pai, Commissioners O’Rielly and Carr.  Commissioner </w:t>
            </w:r>
            <w:r w:rsidRPr="002771E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Rosenworcel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concurring</w:t>
            </w:r>
            <w:r w:rsidRPr="002771ED">
              <w:rPr>
                <w:rStyle w:val="Hyperlink"/>
                <w:color w:val="auto"/>
                <w:sz w:val="22"/>
                <w:szCs w:val="22"/>
                <w:u w:val="none"/>
              </w:rPr>
              <w:t>.  Chairman Pai, Commissioners O’Rielly</w:t>
            </w:r>
            <w:r w:rsidRPr="002771ED">
              <w:rPr>
                <w:rStyle w:val="Hyperlink"/>
                <w:color w:val="auto"/>
                <w:sz w:val="22"/>
                <w:szCs w:val="22"/>
                <w:u w:val="none"/>
              </w:rPr>
              <w:t>, Carr, and Rosenworcel issuing separate statements.</w:t>
            </w:r>
          </w:p>
          <w:p w:rsidR="002771ED" w:rsidRPr="002771ED" w:rsidP="002771E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771ED" w:rsidP="002771E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771ED">
              <w:rPr>
                <w:rStyle w:val="Hyperlink"/>
                <w:color w:val="auto"/>
                <w:sz w:val="22"/>
                <w:szCs w:val="22"/>
                <w:u w:val="none"/>
              </w:rPr>
              <w:t>GN Docket No. 18-231; WT Docket No. 18-203; MB Docket Nos. 17-214, 18-227; IB Docket No. 18-251</w:t>
            </w:r>
          </w:p>
          <w:p w:rsidR="002771ED" w:rsidRPr="002771ED" w:rsidP="002771E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 xml:space="preserve">ice of Media Relations: </w:t>
            </w:r>
            <w:r>
              <w:rPr>
                <w:b/>
                <w:bCs/>
                <w:sz w:val="18"/>
                <w:szCs w:val="18"/>
              </w:rPr>
              <w:t xml:space="preserve">(202) </w:t>
            </w:r>
            <w:r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900A3C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8D7A6C"/>
    <w:multiLevelType w:val="hybridMultilevel"/>
    <w:tmpl w:val="848EE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4DF5033"/>
    <w:multiLevelType w:val="hybridMultilevel"/>
    <w:tmpl w:val="F4AC1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4CA2"/>
    <w:multiLevelType w:val="hybridMultilevel"/>
    <w:tmpl w:val="339EA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FootnoteText">
    <w:name w:val="footnote text"/>
    <w:aliases w:val="ALTS FOOTNOTE,ALTS FOOTNOTE Char,FOOT,Footnote Text Char Char... + Italic,Footnote Text Char2,Footnote Text Char2 Char,Footnote Text Char2 Char1 Char1 Char,Footnote Text Char2 Char1 Char1 Char Char Char,Footnote Text Char3 Char1 Char,f,fn"/>
    <w:link w:val="FootnoteTextChar1"/>
    <w:rsid w:val="001465D9"/>
    <w:pPr>
      <w:spacing w:after="120"/>
    </w:pPr>
  </w:style>
  <w:style w:type="character" w:customStyle="1" w:styleId="FootnoteTextChar">
    <w:name w:val="Footnote Text Char"/>
    <w:aliases w:val="Footnote Text Char3 Char1 Char Char Char,Footnote Text Char3 Char1 Char Char Char Char Char"/>
    <w:basedOn w:val="DefaultParagraphFont"/>
    <w:rsid w:val="001465D9"/>
  </w:style>
  <w:style w:type="character" w:customStyle="1" w:styleId="FootnoteTextChar1">
    <w:name w:val="Footnote Text Char1"/>
    <w:aliases w:val="ALTS FOOTNOTE Char Char,ALTS FOOTNOTE Char1,FOOT Char,Footnote Text Char Char... + Italic Char,Footnote Text Char2 Char Char,Footnote Text Char2 Char1,Footnote Text Char2 Char1 Char1 Char Char,Footnote Text Char3 Char1 Char Char"/>
    <w:link w:val="FootnoteText"/>
    <w:locked/>
    <w:rsid w:val="001465D9"/>
  </w:style>
  <w:style w:type="paragraph" w:styleId="ListParagraph">
    <w:name w:val="List Paragraph"/>
    <w:basedOn w:val="Normal"/>
    <w:uiPriority w:val="34"/>
    <w:qFormat/>
    <w:rsid w:val="00E61DCC"/>
    <w:pPr>
      <w:ind w:left="720"/>
      <w:contextualSpacing/>
    </w:pPr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basedOn w:val="DefaultParagraphFont"/>
    <w:unhideWhenUsed/>
    <w:rsid w:val="008F30C7"/>
    <w:rPr>
      <w:vertAlign w:val="superscript"/>
    </w:rPr>
  </w:style>
  <w:style w:type="paragraph" w:customStyle="1" w:styleId="ParaNum">
    <w:name w:val="ParaNum"/>
    <w:basedOn w:val="Normal"/>
    <w:link w:val="ParaNumChar"/>
    <w:rsid w:val="008F30C7"/>
    <w:pPr>
      <w:widowControl w:val="0"/>
      <w:numPr>
        <w:numId w:val="4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8F30C7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C96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