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9213B">
      <w:pPr>
        <w:tabs>
          <w:tab w:val="center" w:pos="4770"/>
        </w:tabs>
        <w:jc w:val="center"/>
        <w:rPr>
          <w:b/>
          <w:sz w:val="22"/>
          <w:szCs w:val="22"/>
        </w:rPr>
      </w:pPr>
      <w:bookmarkStart w:id="0" w:name="_GoBack"/>
      <w:bookmarkEnd w:id="0"/>
      <w:r>
        <w:rPr>
          <w:b/>
          <w:sz w:val="22"/>
          <w:szCs w:val="22"/>
        </w:rPr>
        <w:t>Before the</w:t>
      </w:r>
    </w:p>
    <w:p w:rsidR="0069213B">
      <w:pPr>
        <w:pStyle w:val="Heading2"/>
        <w:widowControl/>
      </w:pPr>
      <w:r>
        <w:t>Federal Communications Commission</w:t>
      </w:r>
    </w:p>
    <w:p w:rsidR="0069213B">
      <w:pPr>
        <w:pStyle w:val="Heading2"/>
        <w:widowControl/>
      </w:pPr>
      <w:r>
        <w:t>Washington, D.C. 20554</w:t>
      </w:r>
    </w:p>
    <w:p w:rsidR="0069213B">
      <w:pPr>
        <w:tabs>
          <w:tab w:val="left" w:pos="4680"/>
        </w:tabs>
        <w:jc w:val="center"/>
        <w:rPr>
          <w:sz w:val="22"/>
          <w:szCs w:val="22"/>
        </w:rPr>
      </w:pPr>
    </w:p>
    <w:p w:rsidR="0069213B">
      <w:pPr>
        <w:widowControl w:val="0"/>
        <w:pBdr>
          <w:top w:val="nil"/>
          <w:left w:val="nil"/>
          <w:bottom w:val="nil"/>
          <w:right w:val="nil"/>
          <w:between w:val="nil"/>
        </w:pBdr>
        <w:tabs>
          <w:tab w:val="left" w:pos="4680"/>
        </w:tabs>
        <w:jc w:val="both"/>
        <w:rPr>
          <w:color w:val="000000"/>
          <w:sz w:val="22"/>
          <w:szCs w:val="22"/>
        </w:rPr>
      </w:pPr>
    </w:p>
    <w:p w:rsidR="0069213B">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69213B">
      <w:pPr>
        <w:tabs>
          <w:tab w:val="left" w:pos="4680"/>
          <w:tab w:val="left" w:pos="5760"/>
        </w:tabs>
        <w:rPr>
          <w:sz w:val="22"/>
          <w:szCs w:val="22"/>
        </w:rPr>
      </w:pPr>
      <w:r>
        <w:rPr>
          <w:sz w:val="22"/>
          <w:szCs w:val="22"/>
        </w:rPr>
        <w:tab/>
        <w:t>)</w:t>
      </w:r>
    </w:p>
    <w:p w:rsidR="0069213B">
      <w:pPr>
        <w:tabs>
          <w:tab w:val="left" w:pos="4680"/>
          <w:tab w:val="left" w:pos="5400"/>
        </w:tabs>
        <w:jc w:val="both"/>
        <w:rPr>
          <w:sz w:val="22"/>
          <w:szCs w:val="22"/>
        </w:rPr>
      </w:pPr>
      <w:r>
        <w:rPr>
          <w:sz w:val="22"/>
          <w:szCs w:val="22"/>
        </w:rPr>
        <w:t>FRC of Alabama, LLC</w:t>
      </w:r>
      <w:r>
        <w:rPr>
          <w:sz w:val="22"/>
          <w:szCs w:val="22"/>
        </w:rPr>
        <w:tab/>
        <w:t>)</w:t>
      </w:r>
    </w:p>
    <w:p w:rsidR="0069213B">
      <w:pPr>
        <w:tabs>
          <w:tab w:val="left" w:pos="4680"/>
          <w:tab w:val="left" w:pos="5400"/>
        </w:tabs>
        <w:jc w:val="both"/>
        <w:rPr>
          <w:sz w:val="22"/>
          <w:szCs w:val="22"/>
        </w:rPr>
      </w:pPr>
      <w:r>
        <w:rPr>
          <w:sz w:val="22"/>
          <w:szCs w:val="22"/>
        </w:rPr>
        <w:t>d/b/a Focus Radio Communications</w:t>
      </w:r>
      <w:r>
        <w:rPr>
          <w:sz w:val="22"/>
          <w:szCs w:val="22"/>
        </w:rPr>
        <w:tab/>
        <w:t>)</w:t>
      </w:r>
      <w:r>
        <w:rPr>
          <w:sz w:val="22"/>
          <w:szCs w:val="22"/>
        </w:rPr>
        <w:tab/>
        <w:t>File No. EB-FIELDSCR-18-00028052</w:t>
      </w:r>
    </w:p>
    <w:p w:rsidR="0069213B">
      <w:pPr>
        <w:tabs>
          <w:tab w:val="left" w:pos="4680"/>
          <w:tab w:val="left" w:pos="6480"/>
        </w:tabs>
        <w:jc w:val="both"/>
      </w:pPr>
      <w:bookmarkStart w:id="1" w:name="_gjdgxs" w:colFirst="0" w:colLast="0"/>
      <w:bookmarkEnd w:id="1"/>
      <w:r>
        <w:rPr>
          <w:sz w:val="22"/>
          <w:szCs w:val="22"/>
        </w:rPr>
        <w:t>Licensee of Station W287DH</w:t>
      </w:r>
      <w:r>
        <w:rPr>
          <w:sz w:val="22"/>
          <w:szCs w:val="22"/>
        </w:rPr>
        <w:tab/>
        <w:t>)</w:t>
      </w:r>
    </w:p>
    <w:p w:rsidR="0069213B">
      <w:pPr>
        <w:widowControl w:val="0"/>
        <w:pBdr>
          <w:top w:val="nil"/>
          <w:left w:val="nil"/>
          <w:bottom w:val="nil"/>
          <w:right w:val="nil"/>
          <w:between w:val="nil"/>
        </w:pBdr>
        <w:tabs>
          <w:tab w:val="left" w:pos="4680"/>
          <w:tab w:val="left" w:pos="5760"/>
        </w:tabs>
        <w:jc w:val="both"/>
        <w:rPr>
          <w:color w:val="000000"/>
          <w:sz w:val="22"/>
          <w:szCs w:val="22"/>
        </w:rPr>
      </w:pPr>
      <w:r>
        <w:rPr>
          <w:color w:val="000000"/>
          <w:sz w:val="22"/>
          <w:szCs w:val="22"/>
        </w:rPr>
        <w:tab/>
        <w:t>)</w:t>
      </w:r>
    </w:p>
    <w:p w:rsidR="0069213B">
      <w:pPr>
        <w:widowControl w:val="0"/>
        <w:pBdr>
          <w:top w:val="nil"/>
          <w:left w:val="nil"/>
          <w:bottom w:val="nil"/>
          <w:right w:val="nil"/>
          <w:between w:val="nil"/>
        </w:pBdr>
        <w:tabs>
          <w:tab w:val="left" w:pos="4680"/>
          <w:tab w:val="left" w:pos="5400"/>
        </w:tabs>
        <w:jc w:val="both"/>
        <w:rPr>
          <w:color w:val="000000"/>
          <w:sz w:val="22"/>
          <w:szCs w:val="22"/>
        </w:rPr>
      </w:pPr>
      <w:r>
        <w:rPr>
          <w:color w:val="000000"/>
          <w:sz w:val="22"/>
          <w:szCs w:val="22"/>
        </w:rPr>
        <w:t xml:space="preserve">Facility ID: </w:t>
      </w:r>
      <w:r>
        <w:rPr>
          <w:sz w:val="22"/>
          <w:szCs w:val="22"/>
        </w:rPr>
        <w:t>200684</w:t>
      </w:r>
      <w:r>
        <w:rPr>
          <w:color w:val="000000"/>
          <w:sz w:val="22"/>
          <w:szCs w:val="22"/>
        </w:rPr>
        <w:tab/>
        <w:t>)</w:t>
      </w:r>
    </w:p>
    <w:p w:rsidR="0069213B">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69213B">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Huntsville,</w:t>
      </w:r>
      <w:r>
        <w:rPr>
          <w:color w:val="000000"/>
          <w:sz w:val="22"/>
          <w:szCs w:val="22"/>
        </w:rPr>
        <w:t xml:space="preserve"> Alabama</w:t>
      </w:r>
      <w:r>
        <w:rPr>
          <w:color w:val="FF0000"/>
          <w:sz w:val="22"/>
          <w:szCs w:val="22"/>
        </w:rPr>
        <w:tab/>
      </w:r>
      <w:r>
        <w:rPr>
          <w:color w:val="000000"/>
          <w:sz w:val="22"/>
          <w:szCs w:val="22"/>
        </w:rPr>
        <w:t>)</w:t>
      </w:r>
    </w:p>
    <w:p w:rsidR="0069213B">
      <w:pPr>
        <w:tabs>
          <w:tab w:val="center" w:pos="4680"/>
          <w:tab w:val="left" w:pos="5760"/>
        </w:tabs>
        <w:jc w:val="both"/>
        <w:rPr>
          <w:sz w:val="22"/>
          <w:szCs w:val="22"/>
        </w:rPr>
      </w:pPr>
    </w:p>
    <w:p w:rsidR="0069213B">
      <w:pPr>
        <w:tabs>
          <w:tab w:val="center" w:pos="4680"/>
          <w:tab w:val="left" w:pos="5760"/>
        </w:tabs>
        <w:jc w:val="both"/>
        <w:rPr>
          <w:sz w:val="22"/>
          <w:szCs w:val="22"/>
        </w:rPr>
      </w:pPr>
    </w:p>
    <w:p w:rsidR="0069213B">
      <w:pPr>
        <w:pStyle w:val="Title"/>
        <w:tabs>
          <w:tab w:val="left" w:pos="5760"/>
        </w:tabs>
        <w:rPr>
          <w:sz w:val="22"/>
          <w:szCs w:val="22"/>
        </w:rPr>
      </w:pPr>
      <w:r>
        <w:rPr>
          <w:sz w:val="22"/>
          <w:szCs w:val="22"/>
        </w:rPr>
        <w:t>NOTICE OF VIOLATION</w:t>
      </w:r>
    </w:p>
    <w:p w:rsidR="0069213B">
      <w:pPr>
        <w:tabs>
          <w:tab w:val="left" w:pos="6480"/>
        </w:tabs>
        <w:rPr>
          <w:b/>
          <w:sz w:val="22"/>
          <w:szCs w:val="22"/>
        </w:rPr>
      </w:pPr>
    </w:p>
    <w:p w:rsidR="0069213B" w:rsidP="003945D5">
      <w:pPr>
        <w:pStyle w:val="Subtitle"/>
        <w:jc w:val="left"/>
      </w:pPr>
      <w:r>
        <w:tab/>
        <w:t xml:space="preserve">Released:  </w:t>
      </w:r>
      <w:r w:rsidR="000A2402">
        <w:t xml:space="preserve">December </w:t>
      </w:r>
      <w:r w:rsidR="003945D5">
        <w:t>12</w:t>
      </w:r>
      <w:r>
        <w:t>, 2018</w:t>
      </w:r>
    </w:p>
    <w:p w:rsidR="0069213B">
      <w:pPr>
        <w:tabs>
          <w:tab w:val="left" w:pos="5760"/>
        </w:tabs>
        <w:rPr>
          <w:sz w:val="22"/>
          <w:szCs w:val="22"/>
        </w:rPr>
      </w:pPr>
    </w:p>
    <w:p w:rsidR="0069213B">
      <w:pPr>
        <w:rPr>
          <w:sz w:val="22"/>
          <w:szCs w:val="22"/>
        </w:rPr>
      </w:pPr>
      <w:r>
        <w:rPr>
          <w:sz w:val="22"/>
          <w:szCs w:val="22"/>
        </w:rPr>
        <w:t>By the Regional Director, Region Two, Enforcement Bureau:</w:t>
      </w:r>
    </w:p>
    <w:p w:rsidR="0069213B">
      <w:pPr>
        <w:widowControl w:val="0"/>
        <w:pBdr>
          <w:top w:val="nil"/>
          <w:left w:val="nil"/>
          <w:bottom w:val="nil"/>
          <w:right w:val="nil"/>
          <w:between w:val="nil"/>
        </w:pBdr>
        <w:rPr>
          <w:color w:val="000000"/>
          <w:sz w:val="22"/>
          <w:szCs w:val="22"/>
        </w:rPr>
      </w:pPr>
    </w:p>
    <w:p w:rsidR="0069213B">
      <w:pPr>
        <w:widowControl w:val="0"/>
        <w:pBdr>
          <w:top w:val="nil"/>
          <w:left w:val="nil"/>
          <w:bottom w:val="nil"/>
          <w:right w:val="nil"/>
          <w:between w:val="nil"/>
        </w:pBdr>
        <w:rPr>
          <w:color w:val="000000"/>
          <w:sz w:val="22"/>
          <w:szCs w:val="22"/>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This is a Notice of Violation (Notice) issued pursuant to Section 1.89 of the Commission’s rules (Rules),</w:t>
      </w:r>
      <w:r>
        <w:rPr>
          <w:color w:val="000000"/>
          <w:sz w:val="22"/>
          <w:szCs w:val="22"/>
          <w:vertAlign w:val="superscript"/>
        </w:rPr>
        <w:footnoteReference w:id="2"/>
      </w:r>
      <w:r>
        <w:rPr>
          <w:color w:val="000000"/>
          <w:sz w:val="22"/>
          <w:szCs w:val="22"/>
        </w:rPr>
        <w:t xml:space="preserve"> to</w:t>
      </w:r>
      <w:r>
        <w:rPr>
          <w:sz w:val="22"/>
          <w:szCs w:val="22"/>
        </w:rPr>
        <w:t xml:space="preserve"> FRC of Alabama,</w:t>
      </w:r>
      <w:r w:rsidR="00BE4039">
        <w:rPr>
          <w:sz w:val="22"/>
          <w:szCs w:val="22"/>
        </w:rPr>
        <w:t xml:space="preserve"> </w:t>
      </w:r>
      <w:r>
        <w:rPr>
          <w:sz w:val="22"/>
          <w:szCs w:val="22"/>
        </w:rPr>
        <w:t>LLC (FRC)</w:t>
      </w:r>
      <w:r>
        <w:rPr>
          <w:color w:val="000000"/>
          <w:sz w:val="22"/>
          <w:szCs w:val="22"/>
        </w:rPr>
        <w:t xml:space="preserve">, licensee of Low Power FM (LPFM) station </w:t>
      </w:r>
      <w:r>
        <w:rPr>
          <w:sz w:val="22"/>
          <w:szCs w:val="22"/>
        </w:rPr>
        <w:t>W287DH</w:t>
      </w:r>
      <w:r>
        <w:rPr>
          <w:color w:val="000000"/>
          <w:sz w:val="22"/>
          <w:szCs w:val="22"/>
        </w:rPr>
        <w:t xml:space="preserve"> in </w:t>
      </w:r>
      <w:r>
        <w:rPr>
          <w:sz w:val="22"/>
          <w:szCs w:val="22"/>
        </w:rPr>
        <w:t>Huntsville</w:t>
      </w:r>
      <w:r>
        <w:rPr>
          <w:color w:val="000000"/>
          <w:sz w:val="22"/>
          <w:szCs w:val="22"/>
        </w:rPr>
        <w:t xml:space="preserve">, </w:t>
      </w:r>
      <w:r>
        <w:rPr>
          <w:sz w:val="22"/>
          <w:szCs w:val="22"/>
        </w:rPr>
        <w:t>Alabama</w:t>
      </w:r>
      <w:r>
        <w:rPr>
          <w:color w:val="000000"/>
          <w:sz w:val="22"/>
          <w:szCs w:val="22"/>
        </w:rPr>
        <w:t>.  Pursuant to Section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69213B">
      <w:pPr>
        <w:rPr>
          <w:color w:val="000000"/>
          <w:sz w:val="22"/>
          <w:szCs w:val="22"/>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Pr>
          <w:sz w:val="22"/>
          <w:szCs w:val="22"/>
        </w:rPr>
        <w:t>November</w:t>
      </w:r>
      <w:r>
        <w:rPr>
          <w:color w:val="000000"/>
          <w:sz w:val="22"/>
          <w:szCs w:val="22"/>
        </w:rPr>
        <w:t xml:space="preserve"> </w:t>
      </w:r>
      <w:r>
        <w:rPr>
          <w:sz w:val="22"/>
          <w:szCs w:val="22"/>
        </w:rPr>
        <w:t>15</w:t>
      </w:r>
      <w:r>
        <w:rPr>
          <w:color w:val="000000"/>
          <w:sz w:val="22"/>
          <w:szCs w:val="22"/>
        </w:rPr>
        <w:t xml:space="preserve">, 2018, based on a complaint, agents of the Enforcement Bureau’s </w:t>
      </w:r>
      <w:r>
        <w:rPr>
          <w:sz w:val="22"/>
          <w:szCs w:val="22"/>
        </w:rPr>
        <w:t>Atlanta</w:t>
      </w:r>
      <w:r>
        <w:rPr>
          <w:color w:val="000000"/>
          <w:sz w:val="22"/>
          <w:szCs w:val="22"/>
        </w:rPr>
        <w:t xml:space="preserve"> Office investigated and found the following violations:</w:t>
      </w:r>
    </w:p>
    <w:p w:rsidR="0069213B">
      <w:pPr>
        <w:ind w:left="720" w:right="720" w:firstLine="720"/>
        <w:rPr>
          <w:sz w:val="22"/>
          <w:szCs w:val="22"/>
        </w:rPr>
      </w:pPr>
    </w:p>
    <w:p w:rsidR="0069213B" w:rsidP="003945D5">
      <w:pPr>
        <w:tabs>
          <w:tab w:val="left" w:pos="1800"/>
        </w:tabs>
        <w:ind w:left="1800" w:right="720"/>
        <w:rPr>
          <w:sz w:val="22"/>
          <w:szCs w:val="22"/>
        </w:rPr>
      </w:pPr>
      <w:bookmarkStart w:id="2" w:name="_30j0zll" w:colFirst="0" w:colLast="0"/>
      <w:bookmarkEnd w:id="2"/>
      <w:r>
        <w:rPr>
          <w:sz w:val="22"/>
          <w:szCs w:val="22"/>
        </w:rPr>
        <w:t xml:space="preserve">47 C.F.R. § </w:t>
      </w:r>
      <w:r w:rsidR="00B911A1">
        <w:rPr>
          <w:sz w:val="22"/>
          <w:szCs w:val="22"/>
        </w:rPr>
        <w:t>74.751(b) Formal application (FCC Form 346 ) is required for any of the following changes …(6) Any changes in the location of the transmitter except within the same building or upon the same pole or tower.</w:t>
      </w:r>
      <w:r>
        <w:rPr>
          <w:sz w:val="22"/>
          <w:szCs w:val="22"/>
        </w:rPr>
        <w:t xml:space="preserve">  </w:t>
      </w:r>
      <w:r w:rsidR="00BE4039">
        <w:rPr>
          <w:sz w:val="22"/>
          <w:szCs w:val="22"/>
        </w:rPr>
        <w:t>The s</w:t>
      </w:r>
      <w:r>
        <w:rPr>
          <w:sz w:val="22"/>
          <w:szCs w:val="22"/>
        </w:rPr>
        <w:t xml:space="preserve">tation </w:t>
      </w:r>
      <w:r w:rsidRPr="00BE4039" w:rsidR="00BE4039">
        <w:rPr>
          <w:sz w:val="22"/>
          <w:szCs w:val="22"/>
        </w:rPr>
        <w:t xml:space="preserve">W287DH </w:t>
      </w:r>
      <w:r w:rsidR="00BE4039">
        <w:rPr>
          <w:sz w:val="22"/>
          <w:szCs w:val="22"/>
        </w:rPr>
        <w:t>is authorized to operate from 34-44-19</w:t>
      </w:r>
      <w:r>
        <w:rPr>
          <w:sz w:val="22"/>
          <w:szCs w:val="22"/>
        </w:rPr>
        <w:t xml:space="preserve"> N, </w:t>
      </w:r>
      <w:r w:rsidR="00BE4039">
        <w:rPr>
          <w:sz w:val="22"/>
          <w:szCs w:val="22"/>
        </w:rPr>
        <w:t xml:space="preserve">086-31-56 W. On November 15, 2018, </w:t>
      </w:r>
      <w:r>
        <w:rPr>
          <w:sz w:val="22"/>
          <w:szCs w:val="22"/>
        </w:rPr>
        <w:t>agent</w:t>
      </w:r>
      <w:r w:rsidR="00BE4039">
        <w:rPr>
          <w:sz w:val="22"/>
          <w:szCs w:val="22"/>
        </w:rPr>
        <w:t>s</w:t>
      </w:r>
      <w:r>
        <w:rPr>
          <w:sz w:val="22"/>
          <w:szCs w:val="22"/>
        </w:rPr>
        <w:t xml:space="preserve"> observed that Station </w:t>
      </w:r>
      <w:r w:rsidRPr="00BE4039" w:rsidR="00BE4039">
        <w:rPr>
          <w:sz w:val="22"/>
          <w:szCs w:val="22"/>
        </w:rPr>
        <w:t xml:space="preserve">W287DH </w:t>
      </w:r>
      <w:r w:rsidR="00BE4039">
        <w:rPr>
          <w:sz w:val="22"/>
          <w:szCs w:val="22"/>
        </w:rPr>
        <w:t>was transmitting at</w:t>
      </w:r>
      <w:r>
        <w:rPr>
          <w:sz w:val="22"/>
          <w:szCs w:val="22"/>
        </w:rPr>
        <w:t xml:space="preserve"> coordinates </w:t>
      </w:r>
      <w:r w:rsidR="003D2011">
        <w:rPr>
          <w:sz w:val="22"/>
          <w:szCs w:val="22"/>
        </w:rPr>
        <w:t xml:space="preserve">34-44-36.28 </w:t>
      </w:r>
      <w:r>
        <w:rPr>
          <w:sz w:val="22"/>
          <w:szCs w:val="22"/>
        </w:rPr>
        <w:t xml:space="preserve">N, </w:t>
      </w:r>
      <w:r w:rsidR="003D2011">
        <w:rPr>
          <w:sz w:val="22"/>
          <w:szCs w:val="22"/>
        </w:rPr>
        <w:t xml:space="preserve">86-31-56.03 </w:t>
      </w:r>
      <w:r>
        <w:rPr>
          <w:sz w:val="22"/>
          <w:szCs w:val="22"/>
        </w:rPr>
        <w:t>W</w:t>
      </w:r>
      <w:r w:rsidR="00BE4039">
        <w:rPr>
          <w:sz w:val="22"/>
          <w:szCs w:val="22"/>
        </w:rPr>
        <w:t xml:space="preserve">, </w:t>
      </w:r>
      <w:r>
        <w:rPr>
          <w:sz w:val="22"/>
          <w:szCs w:val="22"/>
        </w:rPr>
        <w:t xml:space="preserve">approximately </w:t>
      </w:r>
      <w:r w:rsidR="003D2011">
        <w:rPr>
          <w:sz w:val="22"/>
          <w:szCs w:val="22"/>
        </w:rPr>
        <w:t>0.33</w:t>
      </w:r>
      <w:r>
        <w:rPr>
          <w:sz w:val="22"/>
          <w:szCs w:val="22"/>
        </w:rPr>
        <w:t xml:space="preserve"> miles from its authorized location.</w:t>
      </w:r>
      <w:r w:rsidR="00B911A1">
        <w:rPr>
          <w:sz w:val="22"/>
          <w:szCs w:val="22"/>
        </w:rPr>
        <w:t xml:space="preserve">  The </w:t>
      </w:r>
      <w:r w:rsidR="00FE1224">
        <w:rPr>
          <w:sz w:val="22"/>
          <w:szCs w:val="22"/>
        </w:rPr>
        <w:t xml:space="preserve">Commission’s records do not contain </w:t>
      </w:r>
      <w:r w:rsidR="00B911A1">
        <w:rPr>
          <w:sz w:val="22"/>
          <w:szCs w:val="22"/>
        </w:rPr>
        <w:t xml:space="preserve">a formal application to modify the station’s </w:t>
      </w:r>
      <w:r w:rsidR="00FE1224">
        <w:rPr>
          <w:sz w:val="22"/>
          <w:szCs w:val="22"/>
        </w:rPr>
        <w:t>transmitting location a</w:t>
      </w:r>
      <w:r w:rsidR="00B911A1">
        <w:rPr>
          <w:sz w:val="22"/>
          <w:szCs w:val="22"/>
        </w:rPr>
        <w:t xml:space="preserve">s required by the Rules.   </w:t>
      </w:r>
      <w:r>
        <w:rPr>
          <w:sz w:val="22"/>
          <w:szCs w:val="22"/>
        </w:rPr>
        <w:br/>
      </w:r>
    </w:p>
    <w:p w:rsidR="0069213B">
      <w:pPr>
        <w:rPr>
          <w:sz w:val="22"/>
          <w:szCs w:val="22"/>
        </w:rPr>
      </w:pPr>
    </w:p>
    <w:p w:rsidR="0069213B">
      <w:pPr>
        <w:numPr>
          <w:ilvl w:val="0"/>
          <w:numId w:val="1"/>
        </w:numPr>
        <w:ind w:left="0" w:firstLine="720"/>
        <w:rPr>
          <w:color w:val="000000"/>
          <w:sz w:val="22"/>
          <w:szCs w:val="22"/>
        </w:rPr>
      </w:pPr>
      <w:r>
        <w:rPr>
          <w:sz w:val="22"/>
          <w:szCs w:val="22"/>
        </w:rPr>
        <w:t>Pursuant to Section 308(b) of the Communications Act of 1934, as amended,</w:t>
      </w:r>
      <w:r>
        <w:rPr>
          <w:sz w:val="22"/>
          <w:szCs w:val="22"/>
          <w:vertAlign w:val="superscript"/>
        </w:rPr>
        <w:footnoteReference w:id="4"/>
      </w:r>
      <w:r>
        <w:rPr>
          <w:sz w:val="22"/>
          <w:szCs w:val="22"/>
        </w:rPr>
        <w:t xml:space="preserve"> and Section 1.89 of the Rules, we seek additional information concerning the violations and any remedial actions taken.  Therefore, FRC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5"/>
      </w:r>
      <w:r>
        <w:rPr>
          <w:sz w:val="22"/>
          <w:szCs w:val="22"/>
        </w:rPr>
        <w:t xml:space="preserve">  </w:t>
      </w:r>
    </w:p>
    <w:p w:rsidR="0069213B">
      <w:pPr>
        <w:widowControl w:val="0"/>
        <w:pBdr>
          <w:top w:val="nil"/>
          <w:left w:val="nil"/>
          <w:bottom w:val="nil"/>
          <w:right w:val="nil"/>
          <w:between w:val="nil"/>
        </w:pBdr>
        <w:rPr>
          <w:color w:val="000000"/>
          <w:sz w:val="22"/>
          <w:szCs w:val="22"/>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Section 1.16 of the Rules, we direct </w:t>
      </w:r>
      <w:r>
        <w:rPr>
          <w:sz w:val="22"/>
          <w:szCs w:val="22"/>
        </w:rPr>
        <w:t>FRC</w:t>
      </w:r>
      <w:r>
        <w:rPr>
          <w:color w:val="000000"/>
          <w:sz w:val="22"/>
          <w:szCs w:val="22"/>
        </w:rPr>
        <w:t xml:space="preserve"> to support its response to this Notice with an affidavit or declaration under penalty of perjury, signed and dated by an authorized officer of </w:t>
      </w:r>
      <w:r>
        <w:rPr>
          <w:sz w:val="22"/>
          <w:szCs w:val="22"/>
        </w:rPr>
        <w:t>FRC</w:t>
      </w:r>
      <w:r>
        <w:rPr>
          <w:color w:val="000000"/>
          <w:sz w:val="22"/>
          <w:szCs w:val="22"/>
        </w:rPr>
        <w:t xml:space="preserve"> with personal knowledge of the representations provided in </w:t>
      </w:r>
      <w:r>
        <w:rPr>
          <w:sz w:val="22"/>
          <w:szCs w:val="22"/>
        </w:rPr>
        <w:t>FRC</w:t>
      </w:r>
      <w:r>
        <w:rPr>
          <w:color w:val="000000"/>
          <w:sz w:val="22"/>
          <w:szCs w:val="22"/>
        </w:rPr>
        <w:t>’s response, verifying the truth and accuracy of the information therein,</w:t>
      </w:r>
      <w:r>
        <w:rPr>
          <w:color w:val="000000"/>
          <w:vertAlign w:val="superscript"/>
        </w:rPr>
        <w:footnoteReference w:id="6"/>
      </w:r>
      <w:r>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7"/>
      </w:r>
      <w:r>
        <w:rPr>
          <w:color w:val="000000"/>
          <w:sz w:val="22"/>
          <w:szCs w:val="22"/>
        </w:rPr>
        <w:t xml:space="preserve"> </w:t>
      </w:r>
      <w:r>
        <w:rPr>
          <w:color w:val="800080"/>
          <w:sz w:val="22"/>
          <w:szCs w:val="22"/>
        </w:rPr>
        <w:t xml:space="preserve"> </w:t>
      </w:r>
    </w:p>
    <w:p w:rsidR="0069213B">
      <w:pPr>
        <w:widowControl w:val="0"/>
        <w:pBdr>
          <w:top w:val="nil"/>
          <w:left w:val="nil"/>
          <w:bottom w:val="nil"/>
          <w:right w:val="nil"/>
          <w:between w:val="nil"/>
        </w:pBdr>
        <w:rPr>
          <w:color w:val="000000"/>
          <w:sz w:val="22"/>
          <w:szCs w:val="22"/>
          <w:highlight w:val="yellow"/>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69213B">
      <w:pPr>
        <w:rPr>
          <w:sz w:val="22"/>
          <w:szCs w:val="22"/>
        </w:rPr>
      </w:pPr>
    </w:p>
    <w:p w:rsidR="0069213B">
      <w:pPr>
        <w:keepNext/>
        <w:keepLines/>
        <w:ind w:left="2520"/>
        <w:rPr>
          <w:sz w:val="22"/>
          <w:szCs w:val="22"/>
        </w:rPr>
      </w:pPr>
      <w:r>
        <w:rPr>
          <w:sz w:val="22"/>
          <w:szCs w:val="22"/>
        </w:rPr>
        <w:t>Federal Communications Commission</w:t>
      </w:r>
    </w:p>
    <w:p w:rsidR="0069213B">
      <w:pPr>
        <w:keepNext/>
        <w:keepLines/>
        <w:ind w:left="2520"/>
        <w:rPr>
          <w:sz w:val="22"/>
          <w:szCs w:val="22"/>
        </w:rPr>
      </w:pPr>
      <w:r>
        <w:rPr>
          <w:sz w:val="22"/>
          <w:szCs w:val="22"/>
        </w:rPr>
        <w:t>Atlanta Regional Office</w:t>
      </w:r>
    </w:p>
    <w:p w:rsidR="0069213B">
      <w:pPr>
        <w:keepNext/>
        <w:keepLines/>
        <w:ind w:left="2520"/>
        <w:rPr>
          <w:sz w:val="22"/>
          <w:szCs w:val="22"/>
        </w:rPr>
      </w:pPr>
      <w:r>
        <w:rPr>
          <w:sz w:val="22"/>
          <w:szCs w:val="22"/>
        </w:rPr>
        <w:t>P.O. Box 1493</w:t>
      </w:r>
    </w:p>
    <w:p w:rsidR="0069213B">
      <w:pPr>
        <w:keepNext/>
        <w:keepLines/>
        <w:ind w:left="2520"/>
        <w:rPr>
          <w:sz w:val="22"/>
          <w:szCs w:val="22"/>
        </w:rPr>
      </w:pPr>
      <w:r>
        <w:rPr>
          <w:sz w:val="22"/>
          <w:szCs w:val="22"/>
        </w:rPr>
        <w:t>Powder Springs, GA 30127</w:t>
      </w:r>
    </w:p>
    <w:p w:rsidR="0069213B">
      <w:pPr>
        <w:keepNext/>
        <w:keepLines/>
        <w:ind w:left="2520"/>
        <w:rPr>
          <w:sz w:val="22"/>
          <w:szCs w:val="22"/>
        </w:rPr>
      </w:pPr>
      <w:r>
        <w:rPr>
          <w:sz w:val="22"/>
          <w:szCs w:val="22"/>
        </w:rPr>
        <w:t>FIELD@FCC.GOV</w:t>
      </w:r>
    </w:p>
    <w:p w:rsidR="0069213B">
      <w:pPr>
        <w:keepNext/>
        <w:keepLines/>
        <w:ind w:left="1440" w:firstLine="720"/>
        <w:rPr>
          <w:sz w:val="22"/>
          <w:szCs w:val="22"/>
        </w:rPr>
      </w:pPr>
    </w:p>
    <w:p w:rsidR="0069213B">
      <w:pPr>
        <w:tabs>
          <w:tab w:val="left" w:pos="-1440"/>
        </w:tabs>
        <w:ind w:left="720"/>
        <w:rPr>
          <w:sz w:val="22"/>
          <w:szCs w:val="22"/>
        </w:rPr>
      </w:pPr>
    </w:p>
    <w:p w:rsidR="003945D5">
      <w:pPr>
        <w:tabs>
          <w:tab w:val="left" w:pos="-1440"/>
        </w:tabs>
        <w:ind w:left="720"/>
        <w:rPr>
          <w:sz w:val="22"/>
          <w:szCs w:val="22"/>
        </w:rPr>
      </w:pPr>
    </w:p>
    <w:p w:rsidR="0069213B">
      <w:pPr>
        <w:numPr>
          <w:ilvl w:val="0"/>
          <w:numId w:val="1"/>
        </w:numPr>
        <w:tabs>
          <w:tab w:val="left" w:pos="-1440"/>
        </w:tabs>
        <w:ind w:left="0" w:firstLine="720"/>
        <w:rPr>
          <w:sz w:val="22"/>
          <w:szCs w:val="22"/>
        </w:rPr>
      </w:pPr>
      <w:r>
        <w:rPr>
          <w:sz w:val="22"/>
          <w:szCs w:val="22"/>
        </w:rPr>
        <w:t>This Notice shall be sent to FRC of Alabama, LLC at its address of record.</w:t>
      </w:r>
    </w:p>
    <w:p w:rsidR="0069213B">
      <w:pPr>
        <w:tabs>
          <w:tab w:val="left" w:pos="-1440"/>
        </w:tabs>
        <w:rPr>
          <w:sz w:val="22"/>
          <w:szCs w:val="22"/>
        </w:rPr>
      </w:pPr>
    </w:p>
    <w:p w:rsidR="0069213B">
      <w:pPr>
        <w:numPr>
          <w:ilvl w:val="0"/>
          <w:numId w:val="1"/>
        </w:numPr>
        <w:tabs>
          <w:tab w:val="left" w:pos="-1440"/>
        </w:tabs>
        <w:ind w:left="0" w:firstLine="720"/>
        <w:rPr>
          <w:sz w:val="22"/>
          <w:szCs w:val="22"/>
        </w:rPr>
      </w:pPr>
      <w:r>
        <w:rPr>
          <w:sz w:val="22"/>
          <w:szCs w:val="22"/>
        </w:rPr>
        <w:t>The Privacy Act of 1974</w:t>
      </w:r>
      <w:r>
        <w:rPr>
          <w:sz w:val="22"/>
          <w:szCs w:val="22"/>
          <w:vertAlign w:val="superscript"/>
        </w:rPr>
        <w:footnoteReference w:id="8"/>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69213B">
      <w:pPr>
        <w:tabs>
          <w:tab w:val="left" w:pos="-1440"/>
        </w:tabs>
        <w:rPr>
          <w:b/>
          <w:sz w:val="22"/>
          <w:szCs w:val="22"/>
        </w:rPr>
      </w:pPr>
    </w:p>
    <w:p w:rsidR="0069213B">
      <w:pPr>
        <w:rPr>
          <w:sz w:val="22"/>
          <w:szCs w:val="22"/>
        </w:rPr>
      </w:pPr>
    </w:p>
    <w:p w:rsidR="0069213B">
      <w:pPr>
        <w:rPr>
          <w:sz w:val="22"/>
          <w:szCs w:val="22"/>
        </w:rPr>
      </w:pPr>
    </w:p>
    <w:p w:rsidR="0069213B">
      <w:pPr>
        <w:rPr>
          <w:sz w:val="22"/>
          <w:szCs w:val="22"/>
        </w:rPr>
      </w:pPr>
    </w:p>
    <w:p w:rsidR="0069213B">
      <w:pPr>
        <w:rPr>
          <w:sz w:val="22"/>
          <w:szCs w:val="22"/>
        </w:rPr>
      </w:pPr>
    </w:p>
    <w:p w:rsidR="0069213B">
      <w:pPr>
        <w:ind w:firstLine="4680"/>
        <w:rPr>
          <w:sz w:val="22"/>
          <w:szCs w:val="22"/>
        </w:rPr>
      </w:pPr>
    </w:p>
    <w:p w:rsidR="0069213B">
      <w:pPr>
        <w:ind w:firstLine="4680"/>
        <w:rPr>
          <w:sz w:val="22"/>
          <w:szCs w:val="22"/>
        </w:rPr>
      </w:pPr>
    </w:p>
    <w:p w:rsidR="0069213B">
      <w:pPr>
        <w:ind w:firstLine="4680"/>
        <w:rPr>
          <w:sz w:val="22"/>
          <w:szCs w:val="22"/>
        </w:rPr>
      </w:pPr>
      <w:r>
        <w:rPr>
          <w:sz w:val="22"/>
          <w:szCs w:val="22"/>
        </w:rPr>
        <w:t>FEDERAL COMMUNICATIONS COMMISSION</w:t>
      </w:r>
    </w:p>
    <w:p w:rsidR="0069213B">
      <w:pPr>
        <w:rPr>
          <w:sz w:val="22"/>
          <w:szCs w:val="22"/>
        </w:rPr>
      </w:pPr>
    </w:p>
    <w:p w:rsidR="006921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9213B">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4300B">
      <w:pPr>
        <w:rPr>
          <w:noProof/>
          <w:sz w:val="22"/>
          <w:szCs w:val="22"/>
        </w:rPr>
      </w:pPr>
    </w:p>
    <w:p w:rsidR="0044300B">
      <w:pPr>
        <w:rPr>
          <w:sz w:val="22"/>
          <w:szCs w:val="22"/>
        </w:rPr>
      </w:pPr>
    </w:p>
    <w:p w:rsidR="0069213B">
      <w:pPr>
        <w:ind w:firstLine="4680"/>
        <w:rPr>
          <w:sz w:val="22"/>
          <w:szCs w:val="22"/>
        </w:rPr>
      </w:pPr>
      <w:r>
        <w:rPr>
          <w:sz w:val="22"/>
          <w:szCs w:val="22"/>
        </w:rPr>
        <w:t>Ronald Ramage</w:t>
      </w:r>
    </w:p>
    <w:p w:rsidR="0069213B">
      <w:pPr>
        <w:ind w:firstLine="4680"/>
        <w:rPr>
          <w:sz w:val="22"/>
          <w:szCs w:val="22"/>
        </w:rPr>
      </w:pPr>
      <w:r>
        <w:rPr>
          <w:sz w:val="22"/>
          <w:szCs w:val="22"/>
        </w:rPr>
        <w:t>Regional Director, Region Two</w:t>
      </w:r>
    </w:p>
    <w:p w:rsidR="0069213B">
      <w:pPr>
        <w:widowControl w:val="0"/>
        <w:pBdr>
          <w:top w:val="nil"/>
          <w:left w:val="nil"/>
          <w:bottom w:val="nil"/>
          <w:right w:val="nil"/>
          <w:between w:val="nil"/>
        </w:pBdr>
        <w:tabs>
          <w:tab w:val="center" w:pos="4320"/>
          <w:tab w:val="right" w:pos="8640"/>
        </w:tabs>
        <w:ind w:firstLine="4680"/>
        <w:rPr>
          <w:color w:val="000000"/>
          <w:sz w:val="22"/>
          <w:szCs w:val="22"/>
        </w:rPr>
      </w:pPr>
      <w:r>
        <w:rPr>
          <w:color w:val="000000"/>
          <w:sz w:val="22"/>
          <w:szCs w:val="22"/>
        </w:rPr>
        <w:t>Enforcement Bureau</w:t>
      </w: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69213B">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widowControl w:val="0"/>
      <w:pBdr>
        <w:top w:val="nil"/>
        <w:left w:val="nil"/>
        <w:bottom w:val="nil"/>
        <w:right w:val="nil"/>
        <w:between w:val="nil"/>
      </w:pBdr>
      <w:tabs>
        <w:tab w:val="center" w:pos="4320"/>
        <w:tab w:val="right" w:pos="8640"/>
      </w:tabs>
      <w:jc w:val="center"/>
      <w:rPr>
        <w:color w:val="000000"/>
        <w:sz w:val="24"/>
        <w:szCs w:val="24"/>
      </w:rPr>
    </w:pPr>
  </w:p>
  <w:p w:rsidR="0069213B">
    <w:pPr>
      <w:widowControl w:val="0"/>
      <w:pBdr>
        <w:top w:val="nil"/>
        <w:left w:val="nil"/>
        <w:bottom w:val="nil"/>
        <w:right w:val="nil"/>
        <w:between w:val="nil"/>
      </w:pBdr>
      <w:tabs>
        <w:tab w:val="center" w:pos="4320"/>
        <w:tab w:val="right" w:pos="8640"/>
      </w:tabs>
      <w:jc w:val="center"/>
      <w:rPr>
        <w:color w:val="000000"/>
        <w:sz w:val="24"/>
        <w:szCs w:val="24"/>
      </w:rPr>
    </w:pPr>
  </w:p>
  <w:p w:rsidR="0069213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4300B">
      <w:rPr>
        <w:noProof/>
        <w:color w:val="000000"/>
        <w:sz w:val="24"/>
        <w:szCs w:val="24"/>
      </w:rPr>
      <w:t>2</w:t>
    </w:r>
    <w:r>
      <w:rPr>
        <w:color w:val="000000"/>
        <w:sz w:val="24"/>
        <w:szCs w:val="24"/>
      </w:rPr>
      <w:fldChar w:fldCharType="end"/>
    </w:r>
  </w:p>
  <w:p w:rsidR="0069213B">
    <w:pPr>
      <w:rPr>
        <w:sz w:val="22"/>
        <w:szCs w:val="22"/>
      </w:rPr>
    </w:pPr>
  </w:p>
  <w:p w:rsidR="0069213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2839">
      <w:r>
        <w:separator/>
      </w:r>
    </w:p>
  </w:footnote>
  <w:footnote w:type="continuationSeparator" w:id="1">
    <w:p w:rsidR="00062839">
      <w:r>
        <w:continuationSeparator/>
      </w:r>
    </w:p>
  </w:footnote>
  <w:footnote w:id="2">
    <w:p w:rsidR="0069213B">
      <w:pPr>
        <w:widowControl w:val="0"/>
        <w:pBdr>
          <w:top w:val="nil"/>
          <w:left w:val="nil"/>
          <w:bottom w:val="nil"/>
          <w:right w:val="nil"/>
          <w:between w:val="nil"/>
        </w:pBdr>
        <w:rPr>
          <w:color w:val="000000"/>
        </w:rPr>
      </w:pPr>
      <w:r>
        <w:rPr>
          <w:vertAlign w:val="superscript"/>
        </w:rPr>
        <w:footnoteRef/>
      </w:r>
      <w:r>
        <w:rPr>
          <w:color w:val="000000"/>
        </w:rPr>
        <w:t xml:space="preserve"> 47 C.F.R. § 1.89.</w:t>
      </w:r>
    </w:p>
    <w:p w:rsidR="0069213B">
      <w:pPr>
        <w:widowControl w:val="0"/>
        <w:pBdr>
          <w:top w:val="nil"/>
          <w:left w:val="nil"/>
          <w:bottom w:val="nil"/>
          <w:right w:val="nil"/>
          <w:between w:val="nil"/>
        </w:pBdr>
        <w:rPr>
          <w:color w:val="000000"/>
        </w:rPr>
      </w:pPr>
    </w:p>
  </w:footnote>
  <w:footnote w:id="3">
    <w:p w:rsidR="0069213B">
      <w:pPr>
        <w:tabs>
          <w:tab w:val="left" w:pos="-1440"/>
        </w:tabs>
        <w:rPr>
          <w:b/>
          <w:sz w:val="22"/>
          <w:szCs w:val="22"/>
        </w:rPr>
      </w:pPr>
      <w:r>
        <w:rPr>
          <w:vertAlign w:val="superscript"/>
        </w:rPr>
        <w:footnoteRef/>
      </w:r>
      <w:r>
        <w:t xml:space="preserve"> 47 C.F.R. § 1.89(a).</w:t>
      </w:r>
    </w:p>
    <w:p w:rsidR="0069213B">
      <w:pPr>
        <w:widowControl w:val="0"/>
        <w:pBdr>
          <w:top w:val="nil"/>
          <w:left w:val="nil"/>
          <w:bottom w:val="nil"/>
          <w:right w:val="nil"/>
          <w:between w:val="nil"/>
        </w:pBdr>
        <w:spacing w:after="120"/>
        <w:rPr>
          <w:color w:val="000000"/>
          <w:sz w:val="18"/>
          <w:szCs w:val="18"/>
        </w:rPr>
      </w:pPr>
    </w:p>
  </w:footnote>
  <w:footnote w:id="4">
    <w:p w:rsidR="0069213B">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5">
    <w:p w:rsidR="0069213B">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6">
    <w:p w:rsidR="0069213B">
      <w:pPr>
        <w:widowControl w:val="0"/>
        <w:spacing w:after="120"/>
      </w:pPr>
      <w:r>
        <w:rPr>
          <w:vertAlign w:val="superscript"/>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69213B">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8">
    <w:p w:rsidR="0069213B">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69213B">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69213B">
    <w:pPr>
      <w:jc w:val="both"/>
      <w:rPr>
        <w:sz w:val="22"/>
        <w:szCs w:val="22"/>
      </w:rPr>
    </w:pPr>
    <w:r>
      <w:rPr>
        <w:noProof/>
      </w:rPr>
      <mc:AlternateContent>
        <mc:Choice Requires="wps">
          <w:drawing>
            <wp:anchor distT="0" distB="0" distL="0" distR="0" simplePos="0" relativeHeight="251658240" behindDoc="1" locked="0" layoutInCell="1" allowOverlap="1" hidden="0">
              <wp:simplePos x="0" y="0"/>
              <wp:positionH relativeFrom="column">
                <wp:posOffset>0</wp:posOffset>
              </wp:positionH>
              <wp:positionV relativeFrom="paragraph">
                <wp:posOffset>0</wp:posOffset>
              </wp:positionV>
              <wp:extent cx="5943600" cy="12700"/>
              <wp:effectExtent l="0" t="0" r="0" b="0"/>
              <wp:wrapSquare wrapText="bothSides"/>
              <wp:docPr id="2" name="Rectangle 2" hidden="0"/>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69213B"/>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69213B"/>
                </w:txbxContent>
              </v:textbox>
              <w10:wrap type="square"/>
            </v:rect>
          </w:pict>
        </mc:Fallback>
      </mc:AlternateContent>
    </w:r>
  </w:p>
  <w:p w:rsidR="0069213B">
    <w:pPr>
      <w:jc w:val="both"/>
      <w:rPr>
        <w:sz w:val="22"/>
        <w:szCs w:val="22"/>
      </w:rPr>
    </w:pPr>
  </w:p>
  <w:p w:rsidR="0069213B">
    <w:pP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pStyle w:val="Heading2"/>
      <w:tabs>
        <w:tab w:val="right" w:pos="9360"/>
      </w:tabs>
    </w:pPr>
    <w:r>
      <w:t>Federal Communications Commission</w:t>
    </w:r>
  </w:p>
  <w:p w:rsidR="0069213B">
    <w:pPr>
      <w:jc w:val="both"/>
      <w:rPr>
        <w:sz w:val="22"/>
        <w:szCs w:val="22"/>
      </w:rPr>
    </w:pPr>
    <w:r>
      <w:rPr>
        <w:noProof/>
      </w:rPr>
      <mc:AlternateContent>
        <mc:Choice Requires="wps">
          <w:drawing>
            <wp:anchor distT="0" distB="0" distL="0" distR="0" simplePos="0" relativeHeight="251660288" behindDoc="1" locked="0" layoutInCell="1" allowOverlap="1" hidden="0">
              <wp:simplePos x="0" y="0"/>
              <wp:positionH relativeFrom="column">
                <wp:posOffset>0</wp:posOffset>
              </wp:positionH>
              <wp:positionV relativeFrom="paragraph">
                <wp:posOffset>0</wp:posOffset>
              </wp:positionV>
              <wp:extent cx="5943600" cy="12700"/>
              <wp:effectExtent l="0" t="0" r="0" b="0"/>
              <wp:wrapSquare wrapText="bothSides"/>
              <wp:docPr id="1" name="Rectangle 1" hidden="0"/>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69213B"/>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69213B"/>
                </w:txbxContent>
              </v:textbox>
              <w10:wrap type="square"/>
            </v:rect>
          </w:pict>
        </mc:Fallback>
      </mc:AlternateContent>
    </w:r>
  </w:p>
  <w:p w:rsidR="0069213B">
    <w:pPr>
      <w:tabs>
        <w:tab w:val="center" w:pos="4680"/>
        <w:tab w:val="right" w:pos="9360"/>
      </w:tabs>
      <w:jc w:val="both"/>
    </w:pPr>
  </w:p>
  <w:p w:rsidR="0069213B">
    <w:pPr>
      <w:tabs>
        <w:tab w:val="center" w:pos="468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8738C"/>
    <w:multiLevelType w:val="multilevel"/>
    <w:tmpl w:val="33407D28"/>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
    <w:nsid w:val="454B1343"/>
    <w:multiLevelType w:val="multilevel"/>
    <w:tmpl w:val="432E91C0"/>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B9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