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23CD4" w:rsidP="006A2E3C">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B0156A">
        <w:rPr>
          <w:szCs w:val="22"/>
        </w:rPr>
        <w:t>TELEPHONE COMPANY OF VERMONT LLC D/B/A CONSOLIDATED COMMUNICATIONS</w:t>
      </w:r>
    </w:p>
    <w:p w:rsidR="00AC191A" w:rsidP="00AC191A">
      <w:pPr>
        <w:pStyle w:val="Title"/>
        <w:jc w:val="left"/>
        <w:rPr>
          <w:szCs w:val="22"/>
        </w:rPr>
      </w:pPr>
    </w:p>
    <w:p w:rsidR="00BB6E7C" w:rsidP="00585588">
      <w:pPr>
        <w:pStyle w:val="Title"/>
        <w:jc w:val="left"/>
        <w:rPr>
          <w:szCs w:val="22"/>
        </w:rPr>
      </w:pPr>
      <w:r>
        <w:rPr>
          <w:szCs w:val="22"/>
        </w:rPr>
        <w:t>WC Docket No. 18-</w:t>
      </w:r>
      <w:r w:rsidR="00013EED">
        <w:rPr>
          <w:szCs w:val="22"/>
        </w:rPr>
        <w:t>390</w:t>
      </w:r>
      <w:r>
        <w:rPr>
          <w:szCs w:val="22"/>
        </w:rPr>
        <w:tab/>
      </w:r>
      <w:r>
        <w:rPr>
          <w:szCs w:val="22"/>
        </w:rPr>
        <w:tab/>
      </w:r>
      <w:r>
        <w:rPr>
          <w:szCs w:val="22"/>
        </w:rPr>
        <w:tab/>
      </w:r>
      <w:r>
        <w:rPr>
          <w:szCs w:val="22"/>
        </w:rPr>
        <w:tab/>
      </w:r>
      <w:r>
        <w:rPr>
          <w:szCs w:val="22"/>
        </w:rPr>
        <w:tab/>
        <w:t xml:space="preserve">    </w:t>
      </w:r>
      <w:r w:rsidR="00B17123">
        <w:rPr>
          <w:szCs w:val="22"/>
        </w:rPr>
        <w:t xml:space="preserve">  </w:t>
      </w:r>
      <w:r>
        <w:rPr>
          <w:szCs w:val="22"/>
        </w:rPr>
        <w:t xml:space="preserve">December </w:t>
      </w:r>
      <w:r w:rsidR="00B0156A">
        <w:rPr>
          <w:szCs w:val="22"/>
        </w:rPr>
        <w:t>28</w:t>
      </w:r>
      <w:r>
        <w:rPr>
          <w:szCs w:val="22"/>
        </w:rPr>
        <w:t>, 2018</w:t>
      </w:r>
    </w:p>
    <w:p w:rsidR="008961DF" w:rsidP="00585588">
      <w:pPr>
        <w:pStyle w:val="Title"/>
        <w:jc w:val="left"/>
        <w:rPr>
          <w:szCs w:val="22"/>
        </w:rPr>
      </w:pPr>
      <w:r w:rsidRPr="00F046EC">
        <w:rPr>
          <w:szCs w:val="22"/>
        </w:rPr>
        <w:t xml:space="preserve">Report No. </w:t>
      </w:r>
      <w:r>
        <w:rPr>
          <w:szCs w:val="22"/>
        </w:rPr>
        <w:t>NCD-28</w:t>
      </w:r>
      <w:r w:rsidR="00B0156A">
        <w:rPr>
          <w:szCs w:val="22"/>
        </w:rPr>
        <w:t>7</w:t>
      </w:r>
      <w:r>
        <w:rPr>
          <w:szCs w:val="22"/>
        </w:rPr>
        <w:t>3</w:t>
      </w:r>
    </w:p>
    <w:p w:rsidR="008961DF" w:rsidRPr="00F046EC" w:rsidP="00AC191A">
      <w:pPr>
        <w:pStyle w:val="Title"/>
        <w:jc w:val="left"/>
        <w:rPr>
          <w:szCs w:val="22"/>
        </w:rPr>
      </w:pPr>
    </w:p>
    <w:p w:rsidR="00877F45" w:rsidP="00877F45">
      <w:pPr>
        <w:tabs>
          <w:tab w:val="left" w:pos="-720"/>
        </w:tabs>
        <w:suppressAutoHyphens/>
        <w:rPr>
          <w:szCs w:val="22"/>
        </w:rPr>
      </w:pPr>
      <w:r w:rsidRPr="00F046EC">
        <w:rPr>
          <w:szCs w:val="22"/>
        </w:rPr>
        <w:t xml:space="preserve">Re: </w:t>
      </w:r>
      <w:r>
        <w:rPr>
          <w:szCs w:val="22"/>
        </w:rPr>
        <w:t xml:space="preserve"> COPPER RETIREMENT N</w:t>
      </w:r>
      <w:r w:rsidRPr="00F046EC">
        <w:rPr>
          <w:szCs w:val="22"/>
        </w:rPr>
        <w:t xml:space="preserve">ETWORK CHANGE </w:t>
      </w:r>
      <w:r w:rsidR="00B0156A">
        <w:rPr>
          <w:szCs w:val="22"/>
        </w:rPr>
        <w:t>NOTICE</w:t>
      </w:r>
      <w:r w:rsidRPr="00F046EC">
        <w:rPr>
          <w:szCs w:val="22"/>
        </w:rPr>
        <w:t xml:space="preserve"> RECEIVED</w:t>
      </w:r>
    </w:p>
    <w:p w:rsidR="008961DF" w:rsidRPr="00F046EC">
      <w:pPr>
        <w:tabs>
          <w:tab w:val="left" w:pos="-720"/>
        </w:tabs>
        <w:suppressAutoHyphens/>
        <w:rPr>
          <w:szCs w:val="22"/>
        </w:rPr>
      </w:pPr>
    </w:p>
    <w:p w:rsidR="00CA65AF" w:rsidP="008E22CB">
      <w:pPr>
        <w:tabs>
          <w:tab w:val="left" w:pos="-720"/>
        </w:tabs>
        <w:suppressAutoHyphens/>
        <w:rPr>
          <w:szCs w:val="22"/>
        </w:rPr>
      </w:pPr>
      <w:r>
        <w:rPr>
          <w:szCs w:val="22"/>
        </w:rPr>
        <w:t>Telephone Company of Vermont LLC d/b/a Consolidated Communications</w:t>
      </w:r>
      <w:r w:rsidR="006256E9">
        <w:rPr>
          <w:szCs w:val="22"/>
        </w:rPr>
        <w:t xml:space="preserve"> (</w:t>
      </w:r>
      <w:r>
        <w:rPr>
          <w:szCs w:val="22"/>
        </w:rPr>
        <w:t>Consolidated Communications</w:t>
      </w:r>
      <w:r w:rsidR="006256E9">
        <w:rPr>
          <w:szCs w:val="22"/>
        </w:rPr>
        <w:t>)</w:t>
      </w:r>
      <w:r w:rsidRPr="009C555B" w:rsidR="006256E9">
        <w:rPr>
          <w:szCs w:val="22"/>
        </w:rPr>
        <w:t xml:space="preserve">, an incumbent local exchange carrier (LEC), </w:t>
      </w:r>
      <w:r w:rsidRPr="00F046EC" w:rsidR="006256E9">
        <w:rPr>
          <w:szCs w:val="22"/>
        </w:rPr>
        <w:t xml:space="preserve">has filed </w:t>
      </w:r>
      <w:r w:rsidR="006256E9">
        <w:rPr>
          <w:szCs w:val="22"/>
        </w:rPr>
        <w:t xml:space="preserve">public notice of network change(s) </w:t>
      </w:r>
      <w:r w:rsidRPr="00804C85" w:rsidR="006256E9">
        <w:rPr>
          <w:szCs w:val="22"/>
        </w:rPr>
        <w:t>involving the retirement of copper</w:t>
      </w:r>
      <w:r w:rsidRPr="00BC04DF" w:rsidR="00BC04DF">
        <w:t xml:space="preserve"> </w:t>
      </w:r>
      <w:r w:rsidRPr="00BC04DF" w:rsidR="00BC04DF">
        <w:rPr>
          <w:szCs w:val="22"/>
        </w:rPr>
        <w:t xml:space="preserve">in accordance with section 51.329(a)(1) of the rules of the Federal </w:t>
      </w:r>
      <w:r w:rsidR="00582DF8">
        <w:rPr>
          <w:szCs w:val="22"/>
        </w:rPr>
        <w:t>Communications Commission (FCC</w:t>
      </w:r>
      <w:r w:rsidRPr="00582DF8" w:rsidR="00582DF8">
        <w:rPr>
          <w:szCs w:val="22"/>
        </w:rPr>
        <w:t xml:space="preserve"> </w:t>
      </w:r>
      <w:r w:rsidRPr="00EA7442" w:rsidR="00582DF8">
        <w:rPr>
          <w:szCs w:val="22"/>
        </w:rPr>
        <w:t>or Commission</w:t>
      </w:r>
      <w:r w:rsidR="00582DF8">
        <w:rPr>
          <w:szCs w:val="22"/>
        </w:rPr>
        <w:t>),</w:t>
      </w:r>
      <w:r>
        <w:rPr>
          <w:rStyle w:val="FootnoteReference"/>
          <w:szCs w:val="22"/>
        </w:rPr>
        <w:footnoteReference w:id="2"/>
      </w:r>
      <w:r w:rsidR="00582DF8">
        <w:rPr>
          <w:szCs w:val="22"/>
        </w:rPr>
        <w:t xml:space="preserve"> </w:t>
      </w:r>
      <w:r w:rsidR="001F5C41">
        <w:rPr>
          <w:szCs w:val="22"/>
        </w:rPr>
        <w:t xml:space="preserve">together with </w:t>
      </w:r>
      <w:r w:rsidR="006256E9">
        <w:rPr>
          <w:szCs w:val="22"/>
        </w:rPr>
        <w:t>certification of service on identified interconnecting telephone exchange service providers, as required by section 51.333(a).</w:t>
      </w:r>
      <w:r>
        <w:rPr>
          <w:rStyle w:val="FootnoteReference"/>
          <w:szCs w:val="22"/>
        </w:rPr>
        <w:footnoteReference w:id="3"/>
      </w:r>
      <w:r w:rsidR="006256E9">
        <w:rPr>
          <w:szCs w:val="22"/>
        </w:rPr>
        <w:t xml:space="preserve">  </w:t>
      </w:r>
      <w:r w:rsidRPr="009C555B" w:rsidR="006256E9">
        <w:rPr>
          <w:szCs w:val="22"/>
        </w:rPr>
        <w:t>Upon initial review</w:t>
      </w:r>
      <w:bookmarkStart w:id="0" w:name="_GoBack"/>
      <w:bookmarkEnd w:id="0"/>
      <w:r w:rsidRPr="009C555B" w:rsidR="006256E9">
        <w:rPr>
          <w:szCs w:val="22"/>
        </w:rPr>
        <w:t xml:space="preserve"> the filing appears to be complete.</w:t>
      </w:r>
      <w:r>
        <w:rPr>
          <w:rStyle w:val="FootnoteReference"/>
          <w:szCs w:val="22"/>
        </w:rPr>
        <w:footnoteReference w:id="4"/>
      </w:r>
      <w:r w:rsidR="006256E9">
        <w:rPr>
          <w:szCs w:val="22"/>
        </w:rPr>
        <w:t xml:space="preserve">  </w:t>
      </w:r>
      <w:r w:rsidR="008E22CB">
        <w:rPr>
          <w:szCs w:val="22"/>
        </w:rPr>
        <w:t>Attached is a copy of the notice of network change(s) (total of two pages).</w:t>
      </w:r>
    </w:p>
    <w:p w:rsidR="008E22CB" w:rsidP="008E22CB">
      <w:pPr>
        <w:tabs>
          <w:tab w:val="left" w:pos="-720"/>
        </w:tabs>
        <w:suppressAutoHyphens/>
        <w:rPr>
          <w:szCs w:val="22"/>
        </w:rPr>
      </w:pPr>
    </w:p>
    <w:p w:rsidR="008E22CB" w:rsidP="008E22CB">
      <w:pPr>
        <w:tabs>
          <w:tab w:val="left" w:pos="-720"/>
        </w:tabs>
        <w:suppressAutoHyphens/>
        <w:rPr>
          <w:szCs w:val="22"/>
        </w:rPr>
      </w:pPr>
      <w:r>
        <w:rPr>
          <w:szCs w:val="22"/>
        </w:rPr>
        <w:t>The incumbent LEC’s notice refers to the change(s) identified below:</w:t>
      </w:r>
    </w:p>
    <w:p w:rsidR="008E22CB" w:rsidP="008E22CB">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50"/>
        <w:gridCol w:w="4410"/>
        <w:gridCol w:w="1800"/>
        <w:gridCol w:w="1800"/>
      </w:tblGrid>
      <w:tr w:rsidTr="00493CE8">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350" w:type="dxa"/>
          </w:tcPr>
          <w:p w:rsidR="00CA65AF" w:rsidRPr="007E723C" w:rsidP="009206C3">
            <w:pPr>
              <w:tabs>
                <w:tab w:val="left" w:pos="0"/>
              </w:tabs>
              <w:suppressAutoHyphens/>
              <w:rPr>
                <w:b/>
                <w:szCs w:val="22"/>
              </w:rPr>
            </w:pPr>
            <w:r>
              <w:rPr>
                <w:b/>
                <w:szCs w:val="22"/>
              </w:rPr>
              <w:t>Network Notification</w:t>
            </w:r>
            <w:r w:rsidR="006256E9">
              <w:rPr>
                <w:b/>
                <w:szCs w:val="22"/>
              </w:rPr>
              <w:t xml:space="preserve"> No.</w:t>
            </w:r>
          </w:p>
        </w:tc>
        <w:tc>
          <w:tcPr>
            <w:tcW w:w="4410" w:type="dxa"/>
            <w:shd w:val="clear" w:color="auto" w:fill="auto"/>
          </w:tcPr>
          <w:p w:rsidR="00CA65AF" w:rsidRPr="007E723C" w:rsidP="009206C3">
            <w:pPr>
              <w:tabs>
                <w:tab w:val="left" w:pos="0"/>
              </w:tabs>
              <w:suppressAutoHyphens/>
              <w:rPr>
                <w:b/>
                <w:szCs w:val="22"/>
              </w:rPr>
            </w:pPr>
            <w:r w:rsidRPr="007E723C">
              <w:rPr>
                <w:b/>
                <w:szCs w:val="22"/>
              </w:rPr>
              <w:t>Type of Change(s)</w:t>
            </w:r>
          </w:p>
        </w:tc>
        <w:tc>
          <w:tcPr>
            <w:tcW w:w="1800" w:type="dxa"/>
            <w:shd w:val="clear" w:color="auto" w:fill="auto"/>
          </w:tcPr>
          <w:p w:rsidR="00CA65AF" w:rsidRPr="007E723C" w:rsidP="009206C3">
            <w:pPr>
              <w:tabs>
                <w:tab w:val="left" w:pos="0"/>
              </w:tabs>
              <w:suppressAutoHyphens/>
              <w:rPr>
                <w:b/>
                <w:szCs w:val="22"/>
              </w:rPr>
            </w:pPr>
            <w:r>
              <w:rPr>
                <w:b/>
                <w:szCs w:val="22"/>
              </w:rPr>
              <w:t>Location of Change(s)</w:t>
            </w:r>
          </w:p>
        </w:tc>
        <w:tc>
          <w:tcPr>
            <w:tcW w:w="1800" w:type="dxa"/>
            <w:shd w:val="clear" w:color="auto" w:fill="auto"/>
          </w:tcPr>
          <w:p w:rsidR="00CA65AF" w:rsidRPr="007E723C" w:rsidP="009206C3">
            <w:pPr>
              <w:tabs>
                <w:tab w:val="left" w:pos="0"/>
              </w:tabs>
              <w:suppressAutoHyphens/>
              <w:rPr>
                <w:b/>
                <w:szCs w:val="22"/>
              </w:rPr>
            </w:pPr>
            <w:r>
              <w:rPr>
                <w:b/>
                <w:szCs w:val="22"/>
              </w:rPr>
              <w:t xml:space="preserve">Planned </w:t>
            </w:r>
            <w:r w:rsidRPr="007E723C">
              <w:rPr>
                <w:b/>
                <w:szCs w:val="22"/>
              </w:rPr>
              <w:t>Implementation Date(s)</w:t>
            </w:r>
          </w:p>
        </w:tc>
      </w:tr>
      <w:tr w:rsidTr="00493CE8">
        <w:tblPrEx>
          <w:tblW w:w="9360" w:type="dxa"/>
          <w:tblInd w:w="108" w:type="dxa"/>
          <w:tblLayout w:type="fixed"/>
          <w:tblLook w:val="01E0"/>
        </w:tblPrEx>
        <w:tc>
          <w:tcPr>
            <w:tcW w:w="1350" w:type="dxa"/>
          </w:tcPr>
          <w:p w:rsidR="00CA65AF" w:rsidRPr="00E13AE3" w:rsidP="009206C3">
            <w:pPr>
              <w:autoSpaceDE w:val="0"/>
              <w:autoSpaceDN w:val="0"/>
              <w:adjustRightInd w:val="0"/>
              <w:rPr>
                <w:bCs/>
                <w:szCs w:val="22"/>
              </w:rPr>
            </w:pPr>
            <w:r>
              <w:rPr>
                <w:bCs/>
                <w:szCs w:val="22"/>
              </w:rPr>
              <w:t>126</w:t>
            </w:r>
          </w:p>
        </w:tc>
        <w:tc>
          <w:tcPr>
            <w:tcW w:w="4410" w:type="dxa"/>
            <w:shd w:val="clear" w:color="auto" w:fill="auto"/>
          </w:tcPr>
          <w:p w:rsidR="008E4B4C" w:rsidRPr="000C58AD" w:rsidP="008E4B4C">
            <w:pPr>
              <w:autoSpaceDE w:val="0"/>
              <w:autoSpaceDN w:val="0"/>
              <w:adjustRightInd w:val="0"/>
              <w:rPr>
                <w:szCs w:val="22"/>
              </w:rPr>
            </w:pPr>
            <w:r w:rsidRPr="00314071">
              <w:rPr>
                <w:szCs w:val="22"/>
              </w:rPr>
              <w:t xml:space="preserve">Consolidated Communications </w:t>
            </w:r>
            <w:r w:rsidRPr="000C58AD" w:rsidR="006256E9">
              <w:rPr>
                <w:szCs w:val="22"/>
              </w:rPr>
              <w:t xml:space="preserve">plans </w:t>
            </w:r>
          </w:p>
          <w:p w:rsidR="00CA65AF" w:rsidRPr="0081179F" w:rsidP="00AF1A9C">
            <w:pPr>
              <w:autoSpaceDE w:val="0"/>
              <w:autoSpaceDN w:val="0"/>
              <w:adjustRightInd w:val="0"/>
              <w:rPr>
                <w:szCs w:val="22"/>
              </w:rPr>
            </w:pPr>
            <w:r>
              <w:rPr>
                <w:szCs w:val="22"/>
              </w:rPr>
              <w:t xml:space="preserve">to </w:t>
            </w:r>
            <w:r w:rsidRPr="000C58AD">
              <w:rPr>
                <w:szCs w:val="22"/>
              </w:rPr>
              <w:t>retire copper facilities</w:t>
            </w:r>
            <w:r w:rsidR="00493CE8">
              <w:rPr>
                <w:szCs w:val="22"/>
              </w:rPr>
              <w:t xml:space="preserve"> and </w:t>
            </w:r>
            <w:r w:rsidRPr="000C58AD">
              <w:rPr>
                <w:szCs w:val="22"/>
              </w:rPr>
              <w:t xml:space="preserve">replace them with fiber </w:t>
            </w:r>
            <w:r>
              <w:rPr>
                <w:szCs w:val="22"/>
              </w:rPr>
              <w:t>optic</w:t>
            </w:r>
            <w:r w:rsidR="00AF1A9C">
              <w:rPr>
                <w:szCs w:val="22"/>
              </w:rPr>
              <w:t xml:space="preserve"> cable and Digital Loop Carrier </w:t>
            </w:r>
            <w:r>
              <w:rPr>
                <w:szCs w:val="22"/>
              </w:rPr>
              <w:t>(DLC) systems</w:t>
            </w:r>
            <w:r w:rsidR="003B4C62">
              <w:rPr>
                <w:szCs w:val="22"/>
              </w:rPr>
              <w:t xml:space="preserve">.  It plans to </w:t>
            </w:r>
            <w:r>
              <w:rPr>
                <w:szCs w:val="22"/>
              </w:rPr>
              <w:t>install a Digital</w:t>
            </w:r>
            <w:r w:rsidR="00AF1A9C">
              <w:rPr>
                <w:szCs w:val="22"/>
              </w:rPr>
              <w:t xml:space="preserve"> </w:t>
            </w:r>
            <w:r w:rsidRPr="00340A60">
              <w:rPr>
                <w:szCs w:val="22"/>
              </w:rPr>
              <w:t>Subscriber Line Access</w:t>
            </w:r>
            <w:r w:rsidR="00AF1A9C">
              <w:rPr>
                <w:szCs w:val="22"/>
              </w:rPr>
              <w:t xml:space="preserve"> </w:t>
            </w:r>
            <w:r w:rsidRPr="00340A60">
              <w:rPr>
                <w:szCs w:val="22"/>
              </w:rPr>
              <w:t>Multiplexer in order to provide</w:t>
            </w:r>
            <w:r w:rsidR="00AF1A9C">
              <w:rPr>
                <w:szCs w:val="22"/>
              </w:rPr>
              <w:t xml:space="preserve"> </w:t>
            </w:r>
            <w:r w:rsidRPr="00340A60">
              <w:rPr>
                <w:szCs w:val="22"/>
              </w:rPr>
              <w:t>Digital Subscriber Line</w:t>
            </w:r>
            <w:r w:rsidR="00AF1A9C">
              <w:rPr>
                <w:szCs w:val="22"/>
              </w:rPr>
              <w:t xml:space="preserve"> </w:t>
            </w:r>
            <w:r w:rsidRPr="00340A60">
              <w:rPr>
                <w:szCs w:val="22"/>
              </w:rPr>
              <w:t>service</w:t>
            </w:r>
            <w:r w:rsidRPr="00340A60" w:rsidR="008E4B4C">
              <w:rPr>
                <w:szCs w:val="22"/>
              </w:rPr>
              <w:t>.</w:t>
            </w:r>
          </w:p>
        </w:tc>
        <w:tc>
          <w:tcPr>
            <w:tcW w:w="1800" w:type="dxa"/>
            <w:shd w:val="clear" w:color="auto" w:fill="auto"/>
          </w:tcPr>
          <w:p w:rsidR="00CA65AF" w:rsidRPr="00F405BF" w:rsidP="008A6823">
            <w:pPr>
              <w:autoSpaceDE w:val="0"/>
              <w:autoSpaceDN w:val="0"/>
              <w:adjustRightInd w:val="0"/>
              <w:rPr>
                <w:b/>
                <w:szCs w:val="22"/>
              </w:rPr>
            </w:pPr>
            <w:r>
              <w:rPr>
                <w:szCs w:val="22"/>
              </w:rPr>
              <w:t>I</w:t>
            </w:r>
            <w:r w:rsidR="00E332F4">
              <w:rPr>
                <w:szCs w:val="22"/>
              </w:rPr>
              <w:t>n the following Wire Center</w:t>
            </w:r>
            <w:r w:rsidRPr="004658B5">
              <w:rPr>
                <w:szCs w:val="22"/>
              </w:rPr>
              <w:t xml:space="preserve"> in </w:t>
            </w:r>
            <w:r w:rsidR="002A0604">
              <w:rPr>
                <w:szCs w:val="22"/>
              </w:rPr>
              <w:t>North Walpole, Vermont</w:t>
            </w:r>
            <w:r w:rsidRPr="004658B5">
              <w:rPr>
                <w:szCs w:val="22"/>
              </w:rPr>
              <w:t xml:space="preserve">:  </w:t>
            </w:r>
            <w:r w:rsidR="002A0604">
              <w:rPr>
                <w:szCs w:val="22"/>
              </w:rPr>
              <w:t>Bellows Falls</w:t>
            </w:r>
            <w:r>
              <w:rPr>
                <w:szCs w:val="22"/>
              </w:rPr>
              <w:t xml:space="preserve"> (</w:t>
            </w:r>
            <w:r w:rsidR="002A0604">
              <w:rPr>
                <w:szCs w:val="22"/>
              </w:rPr>
              <w:t>BLFLVTHE</w:t>
            </w:r>
            <w:r>
              <w:rPr>
                <w:szCs w:val="22"/>
              </w:rPr>
              <w:t>)</w:t>
            </w:r>
            <w:r w:rsidR="002A0604">
              <w:rPr>
                <w:szCs w:val="22"/>
              </w:rPr>
              <w:t>.</w:t>
            </w:r>
          </w:p>
        </w:tc>
        <w:tc>
          <w:tcPr>
            <w:tcW w:w="1800" w:type="dxa"/>
            <w:shd w:val="clear" w:color="auto" w:fill="auto"/>
          </w:tcPr>
          <w:p w:rsidR="00CA65AF" w:rsidRPr="009D07FA" w:rsidP="009206C3">
            <w:pPr>
              <w:tabs>
                <w:tab w:val="left" w:pos="0"/>
              </w:tabs>
              <w:suppressAutoHyphens/>
              <w:rPr>
                <w:b/>
                <w:szCs w:val="22"/>
              </w:rPr>
            </w:pPr>
            <w:r>
              <w:rPr>
                <w:szCs w:val="22"/>
              </w:rPr>
              <w:t xml:space="preserve">90 days after release of </w:t>
            </w:r>
            <w:r w:rsidR="00766964">
              <w:rPr>
                <w:szCs w:val="22"/>
              </w:rPr>
              <w:t xml:space="preserve">the </w:t>
            </w:r>
            <w:r w:rsidR="007C607E">
              <w:rPr>
                <w:szCs w:val="22"/>
              </w:rPr>
              <w:t>Commission’s</w:t>
            </w:r>
            <w:r>
              <w:rPr>
                <w:szCs w:val="22"/>
              </w:rPr>
              <w:t xml:space="preserve"> Public Notice</w:t>
            </w:r>
            <w:r w:rsidR="00766964">
              <w:rPr>
                <w:szCs w:val="22"/>
              </w:rPr>
              <w:t xml:space="preserve"> of the filing</w:t>
            </w:r>
            <w:r w:rsidR="007C607E">
              <w:rPr>
                <w:szCs w:val="22"/>
              </w:rPr>
              <w:t>.</w:t>
            </w:r>
          </w:p>
        </w:tc>
      </w:tr>
    </w:tbl>
    <w:p w:rsidR="00CA65AF" w:rsidP="00CA65AF">
      <w:pPr>
        <w:tabs>
          <w:tab w:val="left" w:pos="0"/>
        </w:tabs>
        <w:suppressAutoHyphens/>
        <w:rPr>
          <w:szCs w:val="22"/>
          <w:lang w:val="de-DE"/>
        </w:rPr>
      </w:pPr>
    </w:p>
    <w:p w:rsidR="00CA65AF" w:rsidRPr="005833F6" w:rsidP="00CA65AF">
      <w:pPr>
        <w:tabs>
          <w:tab w:val="left" w:pos="0"/>
        </w:tabs>
        <w:suppressAutoHyphens/>
        <w:rPr>
          <w:szCs w:val="22"/>
        </w:rPr>
      </w:pPr>
      <w:r w:rsidRPr="005833F6">
        <w:rPr>
          <w:szCs w:val="22"/>
        </w:rPr>
        <w:t>Incumbent LEC contact:</w:t>
      </w:r>
    </w:p>
    <w:p w:rsidR="007C607E" w:rsidRPr="007C607E" w:rsidP="007C607E">
      <w:pPr>
        <w:rPr>
          <w:szCs w:val="22"/>
        </w:rPr>
      </w:pPr>
      <w:r w:rsidRPr="007C607E">
        <w:rPr>
          <w:szCs w:val="22"/>
        </w:rPr>
        <w:t>Barbara Galardo</w:t>
      </w:r>
    </w:p>
    <w:p w:rsidR="007C607E" w:rsidRPr="007C607E" w:rsidP="007C607E">
      <w:pPr>
        <w:rPr>
          <w:szCs w:val="22"/>
        </w:rPr>
      </w:pPr>
      <w:r w:rsidRPr="007C607E">
        <w:rPr>
          <w:szCs w:val="22"/>
        </w:rPr>
        <w:t>Consolidated Communications</w:t>
      </w:r>
    </w:p>
    <w:p w:rsidR="007C607E" w:rsidRPr="007C607E" w:rsidP="007C607E">
      <w:pPr>
        <w:rPr>
          <w:szCs w:val="22"/>
        </w:rPr>
      </w:pPr>
      <w:r w:rsidRPr="007C607E">
        <w:rPr>
          <w:szCs w:val="22"/>
        </w:rPr>
        <w:t>5 Davis Farm Road</w:t>
      </w:r>
    </w:p>
    <w:p w:rsidR="007C607E" w:rsidRPr="007C607E" w:rsidP="007C607E">
      <w:pPr>
        <w:rPr>
          <w:szCs w:val="22"/>
        </w:rPr>
      </w:pPr>
      <w:r w:rsidRPr="007C607E">
        <w:rPr>
          <w:szCs w:val="22"/>
        </w:rPr>
        <w:t>Portland, ME 04103</w:t>
      </w:r>
    </w:p>
    <w:p w:rsidR="00EB08B4" w:rsidRPr="00B0156A" w:rsidP="007C607E">
      <w:pPr>
        <w:rPr>
          <w:b/>
          <w:szCs w:val="22"/>
        </w:rPr>
      </w:pPr>
      <w:r w:rsidRPr="007C607E">
        <w:rPr>
          <w:szCs w:val="22"/>
        </w:rPr>
        <w:t>(207) 535-4126</w:t>
      </w:r>
    </w:p>
    <w:p w:rsidR="00EB08B4" w:rsidRPr="007F510F" w:rsidP="00EB08B4">
      <w:pPr>
        <w:rPr>
          <w:szCs w:val="22"/>
        </w:rPr>
      </w:pPr>
    </w:p>
    <w:p w:rsidR="006E7B5B" w:rsidRPr="004873FE" w:rsidP="006E7B5B">
      <w:pPr>
        <w:rPr>
          <w:b/>
          <w:szCs w:val="22"/>
        </w:rPr>
      </w:pPr>
      <w:r w:rsidRPr="00546004">
        <w:rPr>
          <w:szCs w:val="22"/>
        </w:rPr>
        <w:t xml:space="preserve">An objection to an incumbent LEC's </w:t>
      </w:r>
      <w:r>
        <w:rPr>
          <w:szCs w:val="22"/>
        </w:rPr>
        <w:t xml:space="preserve">copper retirement </w:t>
      </w:r>
      <w:r w:rsidRPr="00546004">
        <w:rPr>
          <w:szCs w:val="22"/>
        </w:rPr>
        <w:t xml:space="preserve">notice may be filed by an information service provider or telecommunications service provider that directly interconnects with the incumbent LEC’s </w:t>
      </w:r>
      <w:r w:rsidRPr="00546004">
        <w:rPr>
          <w:szCs w:val="22"/>
        </w:rPr>
        <w:t>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pPr>
        <w:rPr>
          <w:szCs w:val="22"/>
        </w:rPr>
      </w:pPr>
    </w:p>
    <w:p w:rsidR="006E7B5B" w:rsidRPr="00D45146"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pPr>
        <w:tabs>
          <w:tab w:val="left" w:pos="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w:t>
      </w:r>
      <w:r w:rsidRPr="00C2582B">
        <w:rPr>
          <w:szCs w:val="22"/>
        </w:rPr>
        <w:t>9050 Junction Drive, Annapolis Junction, MD 20701</w:t>
      </w:r>
      <w:r>
        <w:rPr>
          <w:szCs w:val="22"/>
        </w:rPr>
        <w:t>.  U.S. Postal Service first-class, Express, and Priority mail must be addressed to 445 12th Street, S.W., Washington, D.C. 20554.</w:t>
      </w:r>
    </w:p>
    <w:p w:rsidR="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7"/>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w:t>
      </w:r>
      <w:r>
        <w:t xml:space="preserve">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7" w:history="1">
        <w:r w:rsidRPr="00903DBD">
          <w:rPr>
            <w:rStyle w:val="Hyperlink"/>
            <w:szCs w:val="22"/>
          </w:rPr>
          <w:t>fcc504@fcc.gov</w:t>
        </w:r>
      </w:hyperlink>
      <w:r>
        <w:rPr>
          <w:szCs w:val="22"/>
        </w:rPr>
        <w:t xml:space="preserve"> or call the Consumer &amp; Governmental Affairs Bureau at (202) 418-0530 (voice), (888) 835-5322 (tty).</w:t>
      </w:r>
    </w:p>
    <w:p w:rsidR="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pPr>
        <w:tabs>
          <w:tab w:val="left" w:pos="0"/>
        </w:tabs>
        <w:suppressAutoHyphens/>
        <w:rPr>
          <w:color w:val="000000"/>
          <w:szCs w:val="22"/>
        </w:rPr>
      </w:pPr>
      <w:r>
        <w:rPr>
          <w:color w:val="000000"/>
          <w:szCs w:val="22"/>
        </w:rPr>
        <w:t>For further information, please contact Rodney McDonald at (202) 418-7513 or Carmell Weathers at (202) 418-2325, of the Competition Policy Division, Wireline Competition Bureau.  The tty number is (888) 835-5322.</w:t>
      </w:r>
    </w:p>
    <w:p w:rsidR="006E7B5B" w:rsidP="006E7B5B">
      <w:pPr>
        <w:tabs>
          <w:tab w:val="left" w:pos="0"/>
        </w:tabs>
        <w:suppressAutoHyphens/>
        <w:rPr>
          <w:b/>
          <w:szCs w:val="22"/>
        </w:rPr>
      </w:pPr>
    </w:p>
    <w:p w:rsidR="008961DF" w:rsidRPr="00EC7DC8" w:rsidP="0063533E">
      <w:pPr>
        <w:tabs>
          <w:tab w:val="left" w:pos="0"/>
        </w:tabs>
        <w:suppressAutoHyphens/>
        <w:jc w:val="center"/>
        <w:rPr>
          <w:color w:val="000000"/>
          <w:szCs w:val="22"/>
        </w:rPr>
      </w:pPr>
      <w:r>
        <w:rPr>
          <w:b/>
          <w:szCs w:val="22"/>
        </w:rPr>
        <w:t>-FCC-</w:t>
      </w:r>
    </w:p>
    <w:sectPr w:rsidSect="00E37281">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E372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r>
        <w:separator/>
      </w:r>
    </w:p>
  </w:footnote>
  <w:footnote w:type="continuationSeparator" w:id="1">
    <w:p w:rsidR="0057389B">
      <w:r>
        <w:continuationSeparator/>
      </w:r>
    </w:p>
  </w:footnote>
  <w:footnote w:id="2">
    <w:p w:rsidR="005A1948">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(1)</w:t>
      </w:r>
      <w:r w:rsidRPr="002A1AA0">
        <w:rPr>
          <w:sz w:val="20"/>
        </w:rPr>
        <w:t>.</w:t>
      </w:r>
    </w:p>
  </w:footnote>
  <w:footnote w:id="3">
    <w:p w:rsidR="006072DC">
      <w:pPr>
        <w:pStyle w:val="FootnoteText"/>
      </w:pPr>
      <w:r>
        <w:rPr>
          <w:rStyle w:val="FootnoteReference"/>
        </w:rPr>
        <w:footnoteRef/>
      </w:r>
      <w:r>
        <w:t xml:space="preserve"> </w:t>
      </w:r>
      <w:r w:rsidRPr="002A1AA0" w:rsidR="001F5C41">
        <w:rPr>
          <w:i/>
          <w:sz w:val="20"/>
        </w:rPr>
        <w:t xml:space="preserve">See </w:t>
      </w:r>
      <w:r w:rsidRPr="002A1AA0" w:rsidR="001F5C41">
        <w:rPr>
          <w:sz w:val="20"/>
        </w:rPr>
        <w:t>47 CFR § 51.333(a).</w:t>
      </w:r>
    </w:p>
  </w:footnote>
  <w:footnote w:id="4">
    <w:p w:rsidR="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pPr>
                      <w:rPr>
                        <w:rFonts w:ascii="Arial" w:hAnsi="Arial" w:cs="Arial"/>
                        <w:b/>
                      </w:rPr>
                    </w:pPr>
                    <w:r w:rsidRPr="002D783A">
                      <w:rPr>
                        <w:rFonts w:ascii="Arial" w:hAnsi="Arial" w:cs="Arial"/>
                        <w:b/>
                      </w:rPr>
                      <w:t>Federal Communications Commission</w:t>
                    </w:r>
                  </w:p>
                  <w:p w:rsidR="00E37281" w:rsidRPr="002D783A">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07432131" r:id="rId2"/>
      </w:pict>
    </w:r>
    <w:r>
      <w:rPr>
        <w:rFonts w:ascii="News Gothic MT" w:hAnsi="News Gothic MT"/>
        <w:b/>
        <w:kern w:val="28"/>
        <w:sz w:val="96"/>
      </w:rPr>
      <w:t>PUBLIC NOTICE</w:t>
    </w:r>
  </w:p>
  <w:p w:rsidR="00E37281" w:rsidRPr="00EA17C2" w:rsidP="00EA17C2">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pPr>
                      <w:jc w:val="right"/>
                      <w:rPr>
                        <w:rFonts w:ascii="Arial" w:hAnsi="Arial"/>
                        <w:sz w:val="16"/>
                      </w:rPr>
                    </w:pPr>
                    <w:r>
                      <w:rPr>
                        <w:rFonts w:ascii="Arial" w:hAnsi="Arial"/>
                        <w:sz w:val="16"/>
                      </w:rPr>
                      <w:tab/>
                      <w:t>News Media Information 202 / 418-0500</w:t>
                    </w:r>
                  </w:p>
                  <w:p w:rsidR="00E37281">
                    <w:pPr>
                      <w:jc w:val="right"/>
                      <w:rPr>
                        <w:rFonts w:ascii="Arial" w:hAnsi="Arial"/>
                        <w:sz w:val="16"/>
                      </w:rPr>
                    </w:pPr>
                    <w:r>
                      <w:rPr>
                        <w:rFonts w:ascii="Arial" w:hAnsi="Arial"/>
                        <w:sz w:val="16"/>
                      </w:rPr>
                      <w:tab/>
                      <w:t xml:space="preserve">            Internet:  http://www.fcc.gov</w:t>
                    </w:r>
                  </w:p>
                  <w:p w:rsidR="00E37281" w:rsidP="00B2754A">
                    <w:pPr>
                      <w:rPr>
                        <w:rFonts w:ascii="Arial" w:hAnsi="Arial"/>
                        <w:sz w:val="16"/>
                      </w:rPr>
                    </w:pPr>
                    <w:r>
                      <w:rPr>
                        <w:rFonts w:ascii="Arial" w:hAnsi="Arial"/>
                        <w:sz w:val="16"/>
                      </w:rPr>
                      <w:tab/>
                      <w:t xml:space="preserve">                                     TTY 1-888-835-5322</w:t>
                    </w:r>
                  </w:p>
                  <w:p w:rsidR="00E37281" w:rsidP="00B2754A">
                    <w:pPr>
                      <w:rPr>
                        <w:rFonts w:ascii="Arial" w:hAnsi="Arial"/>
                        <w:sz w:val="16"/>
                      </w:rPr>
                    </w:pPr>
                    <w:r>
                      <w:rPr>
                        <w:rFonts w:ascii="Arial" w:hAnsi="Arial"/>
                        <w:sz w:val="16"/>
                      </w:rPr>
                      <w:tab/>
                    </w:r>
                    <w:r>
                      <w:rPr>
                        <w:rFonts w:ascii="Arial" w:hAnsi="Arial"/>
                        <w:sz w:val="16"/>
                      </w:rPr>
                      <w:tab/>
                    </w:r>
                  </w:p>
                  <w:p w:rsidR="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654"/>
    <w:rsid w:val="00013EED"/>
    <w:rsid w:val="000C58AD"/>
    <w:rsid w:val="001454F9"/>
    <w:rsid w:val="00177160"/>
    <w:rsid w:val="0018167D"/>
    <w:rsid w:val="001B46A7"/>
    <w:rsid w:val="001F2DA9"/>
    <w:rsid w:val="001F5C41"/>
    <w:rsid w:val="002463B6"/>
    <w:rsid w:val="002A0604"/>
    <w:rsid w:val="002A1AA0"/>
    <w:rsid w:val="002C34F5"/>
    <w:rsid w:val="002D783A"/>
    <w:rsid w:val="00314071"/>
    <w:rsid w:val="00323CD4"/>
    <w:rsid w:val="003246D9"/>
    <w:rsid w:val="00340A60"/>
    <w:rsid w:val="003B4C62"/>
    <w:rsid w:val="00420112"/>
    <w:rsid w:val="004658B5"/>
    <w:rsid w:val="004873FE"/>
    <w:rsid w:val="00493CE8"/>
    <w:rsid w:val="004E4DD5"/>
    <w:rsid w:val="004F48EF"/>
    <w:rsid w:val="00530F8B"/>
    <w:rsid w:val="00546004"/>
    <w:rsid w:val="00567BD5"/>
    <w:rsid w:val="0057648C"/>
    <w:rsid w:val="00582DF8"/>
    <w:rsid w:val="005833F6"/>
    <w:rsid w:val="00585588"/>
    <w:rsid w:val="005A1948"/>
    <w:rsid w:val="006072DC"/>
    <w:rsid w:val="006256E9"/>
    <w:rsid w:val="0063533E"/>
    <w:rsid w:val="0066074D"/>
    <w:rsid w:val="00671064"/>
    <w:rsid w:val="006A2E3C"/>
    <w:rsid w:val="006E7B5B"/>
    <w:rsid w:val="00766964"/>
    <w:rsid w:val="00774BFC"/>
    <w:rsid w:val="007868C8"/>
    <w:rsid w:val="007B3DBE"/>
    <w:rsid w:val="007C607E"/>
    <w:rsid w:val="007E723C"/>
    <w:rsid w:val="007F510F"/>
    <w:rsid w:val="008047EA"/>
    <w:rsid w:val="00804C85"/>
    <w:rsid w:val="0081179F"/>
    <w:rsid w:val="00855464"/>
    <w:rsid w:val="00877F45"/>
    <w:rsid w:val="008961DF"/>
    <w:rsid w:val="008A6823"/>
    <w:rsid w:val="008E22CB"/>
    <w:rsid w:val="008E4B4C"/>
    <w:rsid w:val="00901654"/>
    <w:rsid w:val="00903DBD"/>
    <w:rsid w:val="009206C3"/>
    <w:rsid w:val="00975F11"/>
    <w:rsid w:val="009C555B"/>
    <w:rsid w:val="009D07FA"/>
    <w:rsid w:val="009D14F7"/>
    <w:rsid w:val="00A8658D"/>
    <w:rsid w:val="00AC191A"/>
    <w:rsid w:val="00AF1A9C"/>
    <w:rsid w:val="00B0156A"/>
    <w:rsid w:val="00B17123"/>
    <w:rsid w:val="00B2754A"/>
    <w:rsid w:val="00BB3B05"/>
    <w:rsid w:val="00BB6E7C"/>
    <w:rsid w:val="00BC04DF"/>
    <w:rsid w:val="00BC4AD9"/>
    <w:rsid w:val="00C2582B"/>
    <w:rsid w:val="00C46BAA"/>
    <w:rsid w:val="00C613F7"/>
    <w:rsid w:val="00CA65AF"/>
    <w:rsid w:val="00D45146"/>
    <w:rsid w:val="00D954C4"/>
    <w:rsid w:val="00E13AE3"/>
    <w:rsid w:val="00E332F4"/>
    <w:rsid w:val="00E37281"/>
    <w:rsid w:val="00EA17C2"/>
    <w:rsid w:val="00EA7442"/>
    <w:rsid w:val="00EB08B4"/>
    <w:rsid w:val="00EB7576"/>
    <w:rsid w:val="00EC7DC8"/>
    <w:rsid w:val="00F046EC"/>
    <w:rsid w:val="00F405B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