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F6462">
        <w:rPr>
          <w:szCs w:val="22"/>
        </w:rPr>
        <w:t>FRONTIER COMMUNICATIONS CORPORATION</w:t>
      </w:r>
    </w:p>
    <w:p w:rsidR="00AC191A" w:rsidP="00AC191A">
      <w:pPr>
        <w:pStyle w:val="Title"/>
        <w:jc w:val="left"/>
        <w:rPr>
          <w:szCs w:val="22"/>
        </w:rPr>
      </w:pPr>
    </w:p>
    <w:p w:rsidR="00BB6E7C" w:rsidP="00585588">
      <w:pPr>
        <w:pStyle w:val="Title"/>
        <w:jc w:val="left"/>
        <w:rPr>
          <w:szCs w:val="22"/>
        </w:rPr>
      </w:pPr>
      <w:r>
        <w:rPr>
          <w:szCs w:val="22"/>
        </w:rPr>
        <w:t>WC Docket No. 18-</w:t>
      </w:r>
      <w:r w:rsidR="001360C3">
        <w:rPr>
          <w:szCs w:val="22"/>
        </w:rPr>
        <w:t>394</w:t>
      </w:r>
      <w:r>
        <w:rPr>
          <w:szCs w:val="22"/>
        </w:rPr>
        <w:tab/>
      </w:r>
      <w:r>
        <w:rPr>
          <w:szCs w:val="22"/>
        </w:rPr>
        <w:tab/>
      </w:r>
      <w:r>
        <w:rPr>
          <w:szCs w:val="22"/>
        </w:rPr>
        <w:tab/>
      </w:r>
      <w:r>
        <w:rPr>
          <w:szCs w:val="22"/>
        </w:rPr>
        <w:tab/>
      </w:r>
      <w:r>
        <w:rPr>
          <w:szCs w:val="22"/>
        </w:rPr>
        <w:tab/>
        <w:t xml:space="preserve">    </w:t>
      </w:r>
      <w:r w:rsidR="00541909">
        <w:rPr>
          <w:szCs w:val="22"/>
        </w:rPr>
        <w:t xml:space="preserve">  </w:t>
      </w:r>
      <w:r>
        <w:rPr>
          <w:szCs w:val="22"/>
        </w:rPr>
        <w:t xml:space="preserve">December </w:t>
      </w:r>
      <w:r w:rsidR="00B0156A">
        <w:rPr>
          <w:szCs w:val="22"/>
        </w:rPr>
        <w:t>28</w:t>
      </w:r>
      <w:r>
        <w:rPr>
          <w:szCs w:val="22"/>
        </w:rPr>
        <w:t>, 2018</w:t>
      </w:r>
    </w:p>
    <w:p w:rsidR="008961DF" w:rsidP="00585588">
      <w:pPr>
        <w:pStyle w:val="Title"/>
        <w:jc w:val="left"/>
        <w:rPr>
          <w:szCs w:val="22"/>
        </w:rPr>
      </w:pPr>
      <w:r w:rsidRPr="00F046EC">
        <w:rPr>
          <w:szCs w:val="22"/>
        </w:rPr>
        <w:t xml:space="preserve">Report No. </w:t>
      </w:r>
      <w:r>
        <w:rPr>
          <w:szCs w:val="22"/>
        </w:rPr>
        <w:t>NCD-28</w:t>
      </w:r>
      <w:r w:rsidR="00AF5076">
        <w:rPr>
          <w:szCs w:val="22"/>
        </w:rPr>
        <w:t>84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AF5076">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541909">
        <w:rPr>
          <w:szCs w:val="22"/>
        </w:rPr>
        <w:t>Frontier Communications Corporation (Frontier)</w:t>
      </w:r>
      <w:r w:rsidRPr="009C555B" w:rsidR="006256E9">
        <w:rPr>
          <w:szCs w:val="22"/>
        </w:rPr>
        <w:t xml:space="preserve">, an incumbent local exchange carrier (LEC), </w:t>
      </w:r>
      <w:r w:rsidRPr="00F046EC" w:rsidR="006256E9">
        <w:rPr>
          <w:szCs w:val="22"/>
        </w:rPr>
        <w:t xml:space="preserve">has filed certification that </w:t>
      </w:r>
      <w:r w:rsidR="006256E9">
        <w:rPr>
          <w:szCs w:val="22"/>
        </w:rPr>
        <w:t xml:space="preserve">public notice of network change(s) </w:t>
      </w:r>
      <w:r w:rsidRPr="00804C85" w:rsidR="006256E9">
        <w:rPr>
          <w:szCs w:val="22"/>
        </w:rPr>
        <w:t>involving the retirement of copper</w:t>
      </w:r>
      <w:r w:rsidR="006256E9">
        <w:rPr>
          <w:szCs w:val="22"/>
        </w:rPr>
        <w:t xml:space="preserve"> has been provided through its publicly accessible Internet site, as required by section 51.329(a)</w:t>
      </w:r>
      <w:r w:rsidR="00E103B5">
        <w:rPr>
          <w:szCs w:val="22"/>
        </w:rPr>
        <w:t>(2)</w:t>
      </w:r>
      <w:r w:rsidR="006256E9">
        <w:rPr>
          <w:szCs w:val="22"/>
        </w:rPr>
        <w:t xml:space="preserve"> of the rules of the Federal Communications Commission (FCC or Commission)</w:t>
      </w:r>
      <w:r w:rsidR="00E103B5">
        <w:rPr>
          <w:szCs w:val="22"/>
        </w:rPr>
        <w:t>,</w:t>
      </w:r>
      <w:r>
        <w:rPr>
          <w:rStyle w:val="FootnoteReference"/>
          <w:szCs w:val="22"/>
        </w:rPr>
        <w:footnoteReference w:id="2"/>
      </w:r>
      <w:r w:rsidR="006256E9">
        <w:rPr>
          <w:szCs w:val="22"/>
        </w:rPr>
        <w:t xml:space="preserve"> together with 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Pr="00E25608" w:rsidR="006256E9">
        <w:rPr>
          <w:szCs w:val="22"/>
        </w:rPr>
        <w:t xml:space="preserve">Specific network change information can be obtained on the Internet at:  </w:t>
      </w:r>
      <w:hyperlink r:id="rId5" w:history="1">
        <w:r w:rsidRPr="002B6948" w:rsidR="00F26490">
          <w:rPr>
            <w:rStyle w:val="Hyperlink"/>
          </w:rPr>
          <w:t>https://wholesale.frontier.com/wholesale/notifications-and-news</w:t>
        </w:r>
      </w:hyperlink>
      <w:r w:rsidR="006256E9">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F26490" w:rsidRPr="00F046EC" w:rsidP="00F2649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3960"/>
        <w:gridCol w:w="1800"/>
      </w:tblGrid>
      <w:tr w:rsidTr="00042BD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F26490" w:rsidRPr="007E723C" w:rsidP="003B4202">
            <w:pPr>
              <w:tabs>
                <w:tab w:val="left" w:pos="0"/>
              </w:tabs>
              <w:suppressAutoHyphens/>
              <w:rPr>
                <w:b/>
                <w:szCs w:val="22"/>
              </w:rPr>
            </w:pPr>
            <w:r>
              <w:rPr>
                <w:b/>
                <w:szCs w:val="22"/>
              </w:rPr>
              <w:t>Notice Number</w:t>
            </w:r>
          </w:p>
        </w:tc>
        <w:tc>
          <w:tcPr>
            <w:tcW w:w="1980" w:type="dxa"/>
            <w:shd w:val="clear" w:color="auto" w:fill="auto"/>
          </w:tcPr>
          <w:p w:rsidR="00F26490" w:rsidRPr="007E723C" w:rsidP="003B4202">
            <w:pPr>
              <w:tabs>
                <w:tab w:val="left" w:pos="0"/>
              </w:tabs>
              <w:suppressAutoHyphens/>
              <w:rPr>
                <w:b/>
                <w:szCs w:val="22"/>
              </w:rPr>
            </w:pPr>
            <w:r w:rsidRPr="007E723C">
              <w:rPr>
                <w:b/>
                <w:szCs w:val="22"/>
              </w:rPr>
              <w:t>Type of Change(s)</w:t>
            </w:r>
          </w:p>
        </w:tc>
        <w:tc>
          <w:tcPr>
            <w:tcW w:w="3960" w:type="dxa"/>
            <w:shd w:val="clear" w:color="auto" w:fill="auto"/>
          </w:tcPr>
          <w:p w:rsidR="00F26490" w:rsidRPr="007E723C" w:rsidP="003B4202">
            <w:pPr>
              <w:tabs>
                <w:tab w:val="left" w:pos="0"/>
              </w:tabs>
              <w:suppressAutoHyphens/>
              <w:rPr>
                <w:b/>
                <w:szCs w:val="22"/>
              </w:rPr>
            </w:pPr>
            <w:r>
              <w:rPr>
                <w:b/>
                <w:szCs w:val="22"/>
              </w:rPr>
              <w:t>Location of Change(s)</w:t>
            </w:r>
          </w:p>
        </w:tc>
        <w:tc>
          <w:tcPr>
            <w:tcW w:w="1800" w:type="dxa"/>
          </w:tcPr>
          <w:p w:rsidR="00F26490" w:rsidP="003B4202">
            <w:pPr>
              <w:tabs>
                <w:tab w:val="left" w:pos="0"/>
              </w:tabs>
              <w:suppressAutoHyphens/>
              <w:rPr>
                <w:b/>
                <w:szCs w:val="22"/>
              </w:rPr>
            </w:pPr>
            <w:r>
              <w:rPr>
                <w:b/>
                <w:szCs w:val="22"/>
              </w:rPr>
              <w:t>Implementation Date(s)</w:t>
            </w:r>
          </w:p>
        </w:tc>
      </w:tr>
      <w:tr w:rsidTr="00042BDC">
        <w:tblPrEx>
          <w:tblW w:w="9360" w:type="dxa"/>
          <w:tblInd w:w="108" w:type="dxa"/>
          <w:tblLayout w:type="fixed"/>
          <w:tblLook w:val="01E0"/>
        </w:tblPrEx>
        <w:tc>
          <w:tcPr>
            <w:tcW w:w="1620" w:type="dxa"/>
            <w:shd w:val="clear" w:color="auto" w:fill="auto"/>
          </w:tcPr>
          <w:p w:rsidR="00F26490" w:rsidRPr="005D3499" w:rsidP="003B4202">
            <w:pPr>
              <w:tabs>
                <w:tab w:val="left" w:pos="0"/>
              </w:tabs>
              <w:suppressAutoHyphens/>
              <w:rPr>
                <w:szCs w:val="22"/>
              </w:rPr>
            </w:pPr>
            <w:r w:rsidRPr="005D3499">
              <w:rPr>
                <w:szCs w:val="22"/>
              </w:rPr>
              <w:t>CCBFTR</w:t>
            </w:r>
            <w:r>
              <w:rPr>
                <w:szCs w:val="22"/>
              </w:rPr>
              <w:t>01601</w:t>
            </w:r>
          </w:p>
        </w:tc>
        <w:tc>
          <w:tcPr>
            <w:tcW w:w="1980" w:type="dxa"/>
            <w:shd w:val="clear" w:color="auto" w:fill="auto"/>
          </w:tcPr>
          <w:p w:rsidR="00F26490" w:rsidRPr="005D3499" w:rsidP="003B4202">
            <w:pPr>
              <w:rPr>
                <w:szCs w:val="22"/>
              </w:rPr>
            </w:pPr>
            <w:r>
              <w:rPr>
                <w:szCs w:val="22"/>
              </w:rPr>
              <w:t xml:space="preserve">Frontier plans to retire affected copper facilities and replace them with fiber to offer services over its </w:t>
            </w:r>
            <w:r w:rsidR="00360726">
              <w:rPr>
                <w:szCs w:val="22"/>
              </w:rPr>
              <w:t xml:space="preserve">existing </w:t>
            </w:r>
            <w:r>
              <w:rPr>
                <w:szCs w:val="22"/>
              </w:rPr>
              <w:t>fiber network infrastructure</w:t>
            </w:r>
            <w:r w:rsidRPr="005D3499">
              <w:rPr>
                <w:szCs w:val="22"/>
              </w:rPr>
              <w:t>.</w:t>
            </w:r>
          </w:p>
        </w:tc>
        <w:tc>
          <w:tcPr>
            <w:tcW w:w="3960" w:type="dxa"/>
            <w:shd w:val="clear" w:color="auto" w:fill="auto"/>
          </w:tcPr>
          <w:p w:rsidR="00F26490" w:rsidRPr="005D3499" w:rsidP="003B4202">
            <w:pPr>
              <w:tabs>
                <w:tab w:val="left" w:pos="0"/>
              </w:tabs>
              <w:suppressAutoHyphens/>
              <w:rPr>
                <w:szCs w:val="22"/>
              </w:rPr>
            </w:pPr>
            <w:r>
              <w:rPr>
                <w:szCs w:val="22"/>
              </w:rPr>
              <w:t>I</w:t>
            </w:r>
            <w:r w:rsidRPr="003E3D75">
              <w:rPr>
                <w:szCs w:val="22"/>
              </w:rPr>
              <w:t xml:space="preserve">n the following Wire Centers in </w:t>
            </w:r>
            <w:r>
              <w:rPr>
                <w:szCs w:val="22"/>
              </w:rPr>
              <w:t>Florida</w:t>
            </w:r>
            <w:r w:rsidRPr="003E3D75">
              <w:rPr>
                <w:szCs w:val="22"/>
              </w:rPr>
              <w:t xml:space="preserve">: </w:t>
            </w:r>
            <w:r>
              <w:rPr>
                <w:szCs w:val="22"/>
              </w:rPr>
              <w:t xml:space="preserve"> </w:t>
            </w:r>
            <w:r w:rsidR="004B4F8D">
              <w:rPr>
                <w:szCs w:val="22"/>
              </w:rPr>
              <w:t>Palmetto</w:t>
            </w:r>
            <w:r w:rsidRPr="003E3D75">
              <w:rPr>
                <w:szCs w:val="22"/>
              </w:rPr>
              <w:t xml:space="preserve"> (</w:t>
            </w:r>
            <w:r w:rsidR="004B4F8D">
              <w:rPr>
                <w:szCs w:val="22"/>
              </w:rPr>
              <w:t>PLMTFLXA</w:t>
            </w:r>
            <w:r w:rsidRPr="003E3D75">
              <w:rPr>
                <w:szCs w:val="22"/>
              </w:rPr>
              <w:t xml:space="preserve">); </w:t>
            </w:r>
            <w:r w:rsidR="004B4F8D">
              <w:rPr>
                <w:szCs w:val="22"/>
              </w:rPr>
              <w:t>Parrish</w:t>
            </w:r>
            <w:r>
              <w:rPr>
                <w:szCs w:val="22"/>
              </w:rPr>
              <w:t xml:space="preserve"> </w:t>
            </w:r>
            <w:r w:rsidRPr="003E3D75">
              <w:rPr>
                <w:szCs w:val="22"/>
              </w:rPr>
              <w:t>(</w:t>
            </w:r>
            <w:r w:rsidR="004B4F8D">
              <w:rPr>
                <w:szCs w:val="22"/>
              </w:rPr>
              <w:t>PRSHFLXA</w:t>
            </w:r>
            <w:r w:rsidRPr="003E3D75">
              <w:rPr>
                <w:szCs w:val="22"/>
              </w:rPr>
              <w:t>)</w:t>
            </w:r>
            <w:r>
              <w:rPr>
                <w:szCs w:val="22"/>
              </w:rPr>
              <w:t xml:space="preserve"> &amp; at facilities associated with the locations served by these wire centers listed in Attachment A to the notice under </w:t>
            </w:r>
            <w:r w:rsidRPr="007C02FB">
              <w:rPr>
                <w:szCs w:val="22"/>
              </w:rPr>
              <w:t>CCBFTR</w:t>
            </w:r>
            <w:r w:rsidR="00C235AC">
              <w:rPr>
                <w:szCs w:val="22"/>
              </w:rPr>
              <w:t>01601</w:t>
            </w:r>
            <w:r w:rsidRPr="007C02FB">
              <w:rPr>
                <w:szCs w:val="22"/>
              </w:rPr>
              <w:t xml:space="preserve"> - Public Notice of </w:t>
            </w:r>
            <w:r>
              <w:rPr>
                <w:szCs w:val="22"/>
              </w:rPr>
              <w:t xml:space="preserve">Copper </w:t>
            </w:r>
            <w:r w:rsidRPr="007C02FB">
              <w:rPr>
                <w:szCs w:val="22"/>
              </w:rPr>
              <w:t xml:space="preserve">Retirement Under Rule </w:t>
            </w:r>
            <w:r>
              <w:rPr>
                <w:szCs w:val="22"/>
              </w:rPr>
              <w:t xml:space="preserve"> </w:t>
            </w:r>
            <w:r w:rsidR="00BC79CF">
              <w:rPr>
                <w:szCs w:val="22"/>
              </w:rPr>
              <w:t>47 C.F.R. §</w:t>
            </w:r>
            <w:r w:rsidRPr="007C02FB">
              <w:rPr>
                <w:szCs w:val="22"/>
              </w:rPr>
              <w:t>51.33</w:t>
            </w:r>
            <w:r>
              <w:rPr>
                <w:szCs w:val="22"/>
              </w:rPr>
              <w:t>3</w:t>
            </w:r>
            <w:r w:rsidRPr="007C02FB">
              <w:rPr>
                <w:szCs w:val="22"/>
              </w:rPr>
              <w:t xml:space="preserve"> </w:t>
            </w:r>
            <w:r w:rsidR="00BC79CF">
              <w:rPr>
                <w:szCs w:val="22"/>
              </w:rPr>
              <w:t>– P</w:t>
            </w:r>
            <w:r>
              <w:rPr>
                <w:szCs w:val="22"/>
              </w:rPr>
              <w:t>almetto</w:t>
            </w:r>
            <w:r w:rsidR="00BC79CF">
              <w:rPr>
                <w:szCs w:val="22"/>
              </w:rPr>
              <w:t xml:space="preserve"> (CLLI: P</w:t>
            </w:r>
            <w:r w:rsidR="00BC79CF">
              <w:rPr>
                <w:szCs w:val="22"/>
              </w:rPr>
              <w:t>LMTFLXA</w:t>
            </w:r>
            <w:r w:rsidR="00BC79CF">
              <w:rPr>
                <w:szCs w:val="22"/>
              </w:rPr>
              <w:t xml:space="preserve">) and </w:t>
            </w:r>
            <w:r w:rsidRPr="00BC79CF" w:rsidR="00BC79CF">
              <w:rPr>
                <w:szCs w:val="22"/>
              </w:rPr>
              <w:t>Parrish (CLLI: PRSHFLXA), Florida</w:t>
            </w:r>
            <w:r w:rsidR="00BC79CF">
              <w:rPr>
                <w:szCs w:val="22"/>
              </w:rPr>
              <w:t xml:space="preserve"> </w:t>
            </w:r>
            <w:r>
              <w:rPr>
                <w:szCs w:val="22"/>
              </w:rPr>
              <w:t xml:space="preserve">at </w:t>
            </w:r>
            <w:hyperlink r:id="rId5" w:history="1">
              <w:r w:rsidRPr="002B6948">
                <w:rPr>
                  <w:rStyle w:val="Hyperlink"/>
                </w:rPr>
                <w:t>https://wholesale.frontier.com/wholesale/notifications-and-news</w:t>
              </w:r>
            </w:hyperlink>
            <w:r w:rsidRPr="002D152F">
              <w:rPr>
                <w:color w:val="000000" w:themeColor="text1"/>
                <w:szCs w:val="22"/>
              </w:rPr>
              <w:t>.</w:t>
            </w:r>
          </w:p>
        </w:tc>
        <w:tc>
          <w:tcPr>
            <w:tcW w:w="1800" w:type="dxa"/>
          </w:tcPr>
          <w:p w:rsidR="00F26490" w:rsidRPr="005D3499" w:rsidP="003B4202">
            <w:pPr>
              <w:tabs>
                <w:tab w:val="left" w:pos="0"/>
              </w:tabs>
              <w:suppressAutoHyphens/>
              <w:rPr>
                <w:szCs w:val="22"/>
              </w:rPr>
            </w:pPr>
            <w:r>
              <w:rPr>
                <w:szCs w:val="22"/>
              </w:rPr>
              <w:t>90</w:t>
            </w:r>
            <w:r>
              <w:rPr>
                <w:szCs w:val="22"/>
              </w:rPr>
              <w:t xml:space="preserve"> days after FCC Public Notice</w:t>
            </w:r>
          </w:p>
        </w:tc>
      </w:tr>
    </w:tbl>
    <w:p w:rsidR="00F26490" w:rsidP="00F26490">
      <w:pPr>
        <w:tabs>
          <w:tab w:val="left" w:pos="0"/>
        </w:tabs>
        <w:suppressAutoHyphens/>
        <w:rPr>
          <w:szCs w:val="22"/>
          <w:lang w:val="de-DE"/>
        </w:rPr>
      </w:pPr>
    </w:p>
    <w:p w:rsidR="00EE2579">
      <w:pPr>
        <w:rPr>
          <w:szCs w:val="22"/>
        </w:rPr>
      </w:pPr>
      <w:r>
        <w:rPr>
          <w:szCs w:val="22"/>
        </w:rPr>
        <w:br w:type="page"/>
      </w:r>
    </w:p>
    <w:p w:rsidR="00F26490" w:rsidRPr="005D3499" w:rsidP="00042BDC">
      <w:pPr>
        <w:rPr>
          <w:szCs w:val="22"/>
        </w:rPr>
      </w:pPr>
      <w:r w:rsidRPr="005D3499">
        <w:rPr>
          <w:szCs w:val="22"/>
        </w:rPr>
        <w:t>Incumbent LEC contact:</w:t>
      </w:r>
    </w:p>
    <w:p w:rsidR="00F26490" w:rsidRPr="00866610" w:rsidP="00F26490">
      <w:pPr>
        <w:tabs>
          <w:tab w:val="left" w:pos="0"/>
        </w:tabs>
        <w:suppressAutoHyphens/>
        <w:rPr>
          <w:szCs w:val="22"/>
        </w:rPr>
      </w:pPr>
      <w:r>
        <w:rPr>
          <w:szCs w:val="22"/>
        </w:rPr>
        <w:t>Joe Chicoine</w:t>
      </w:r>
    </w:p>
    <w:p w:rsidR="00F26490" w:rsidRPr="00866610" w:rsidP="00F26490">
      <w:pPr>
        <w:tabs>
          <w:tab w:val="left" w:pos="0"/>
        </w:tabs>
        <w:suppressAutoHyphens/>
        <w:rPr>
          <w:szCs w:val="22"/>
        </w:rPr>
      </w:pPr>
      <w:r>
        <w:rPr>
          <w:szCs w:val="22"/>
        </w:rPr>
        <w:t xml:space="preserve">Sr. Manager, </w:t>
      </w:r>
      <w:r w:rsidRPr="00866610">
        <w:rPr>
          <w:szCs w:val="22"/>
        </w:rPr>
        <w:t>Regulatory Affairs</w:t>
      </w:r>
    </w:p>
    <w:p w:rsidR="00F26490" w:rsidRPr="00866610" w:rsidP="00F26490">
      <w:pPr>
        <w:tabs>
          <w:tab w:val="left" w:pos="0"/>
        </w:tabs>
        <w:suppressAutoHyphens/>
        <w:rPr>
          <w:szCs w:val="22"/>
        </w:rPr>
      </w:pPr>
      <w:r w:rsidRPr="00866610">
        <w:rPr>
          <w:szCs w:val="22"/>
        </w:rPr>
        <w:t>Frontier Communications</w:t>
      </w:r>
      <w:r>
        <w:rPr>
          <w:szCs w:val="22"/>
        </w:rPr>
        <w:t xml:space="preserve"> Corporation</w:t>
      </w:r>
    </w:p>
    <w:p w:rsidR="00F26490" w:rsidRPr="00866610" w:rsidP="00F26490">
      <w:pPr>
        <w:tabs>
          <w:tab w:val="left" w:pos="0"/>
        </w:tabs>
        <w:suppressAutoHyphens/>
        <w:rPr>
          <w:szCs w:val="22"/>
        </w:rPr>
      </w:pPr>
      <w:r>
        <w:rPr>
          <w:szCs w:val="22"/>
        </w:rPr>
        <w:t>9260 E. Stockton Blvd.</w:t>
      </w:r>
    </w:p>
    <w:p w:rsidR="00F26490" w:rsidP="00F26490">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F26490" w:rsidRPr="00B34A3C" w:rsidP="00F26490">
      <w:pPr>
        <w:tabs>
          <w:tab w:val="left" w:pos="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F26490" w:rsidRPr="007F510F" w:rsidP="00F26490">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103B5" w:rsidP="00E103B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Pr>
          <w:sz w:val="20"/>
        </w:rPr>
        <w:t>2</w:t>
      </w:r>
      <w:r>
        <w:rPr>
          <w:sz w:val="20"/>
        </w:rPr>
        <w:t>)</w:t>
      </w:r>
      <w:r w:rsidRPr="002A1AA0">
        <w:rPr>
          <w:sz w:val="20"/>
        </w:rPr>
        <w:t>.</w:t>
      </w:r>
    </w:p>
  </w:footnote>
  <w:footnote w:id="3">
    <w:p w:rsidR="006072DC">
      <w:pPr>
        <w:pStyle w:val="FootnoteText"/>
      </w:pPr>
      <w:r>
        <w:rPr>
          <w:rStyle w:val="FootnoteReference"/>
        </w:rPr>
        <w:footnoteRef/>
      </w:r>
      <w:r>
        <w:t xml:space="preserve"> </w:t>
      </w:r>
      <w:r w:rsidRPr="00F26490" w:rsid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742535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362D1"/>
    <w:rsid w:val="00042BDC"/>
    <w:rsid w:val="000D6A3D"/>
    <w:rsid w:val="001360C3"/>
    <w:rsid w:val="001454F9"/>
    <w:rsid w:val="001B46A7"/>
    <w:rsid w:val="002463B6"/>
    <w:rsid w:val="002A1AA0"/>
    <w:rsid w:val="002B6948"/>
    <w:rsid w:val="002D152F"/>
    <w:rsid w:val="002D783A"/>
    <w:rsid w:val="00323CD4"/>
    <w:rsid w:val="00360726"/>
    <w:rsid w:val="003B4202"/>
    <w:rsid w:val="003E3D75"/>
    <w:rsid w:val="003E5BF8"/>
    <w:rsid w:val="004873FE"/>
    <w:rsid w:val="004A394A"/>
    <w:rsid w:val="004B4F8D"/>
    <w:rsid w:val="004F48EF"/>
    <w:rsid w:val="00530F8B"/>
    <w:rsid w:val="00541909"/>
    <w:rsid w:val="00546004"/>
    <w:rsid w:val="00567BD5"/>
    <w:rsid w:val="00585588"/>
    <w:rsid w:val="005D3499"/>
    <w:rsid w:val="005E33C1"/>
    <w:rsid w:val="006072DC"/>
    <w:rsid w:val="006256E9"/>
    <w:rsid w:val="0063533E"/>
    <w:rsid w:val="00646DE9"/>
    <w:rsid w:val="00665BBA"/>
    <w:rsid w:val="00671064"/>
    <w:rsid w:val="006A2E3C"/>
    <w:rsid w:val="006E7B5B"/>
    <w:rsid w:val="007868C8"/>
    <w:rsid w:val="007C02FB"/>
    <w:rsid w:val="007E723C"/>
    <w:rsid w:val="007F510F"/>
    <w:rsid w:val="00804C85"/>
    <w:rsid w:val="00856393"/>
    <w:rsid w:val="00866610"/>
    <w:rsid w:val="00877F45"/>
    <w:rsid w:val="008961DF"/>
    <w:rsid w:val="00901654"/>
    <w:rsid w:val="00903DBD"/>
    <w:rsid w:val="00975F11"/>
    <w:rsid w:val="009C555B"/>
    <w:rsid w:val="009F6462"/>
    <w:rsid w:val="00AC191A"/>
    <w:rsid w:val="00AF5076"/>
    <w:rsid w:val="00B0156A"/>
    <w:rsid w:val="00B16E93"/>
    <w:rsid w:val="00B2754A"/>
    <w:rsid w:val="00B34A3C"/>
    <w:rsid w:val="00BB6E7C"/>
    <w:rsid w:val="00BC79CF"/>
    <w:rsid w:val="00C235AC"/>
    <w:rsid w:val="00C2582B"/>
    <w:rsid w:val="00C613F7"/>
    <w:rsid w:val="00CD3EEA"/>
    <w:rsid w:val="00D45146"/>
    <w:rsid w:val="00D7715A"/>
    <w:rsid w:val="00D954C4"/>
    <w:rsid w:val="00DD3037"/>
    <w:rsid w:val="00E103B5"/>
    <w:rsid w:val="00E25608"/>
    <w:rsid w:val="00E37281"/>
    <w:rsid w:val="00EA17C2"/>
    <w:rsid w:val="00EB7576"/>
    <w:rsid w:val="00EC6612"/>
    <w:rsid w:val="00EC7DC8"/>
    <w:rsid w:val="00EE2579"/>
    <w:rsid w:val="00F046EC"/>
    <w:rsid w:val="00F26490"/>
    <w:rsid w:val="00F521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