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Rosecorp Trust</w:t>
      </w:r>
      <w:r w:rsidRPr="00822BD6">
        <w:rPr>
          <w:sz w:val="22"/>
          <w:szCs w:val="22"/>
        </w:rPr>
        <w:tab/>
        <w:t>)</w:t>
      </w:r>
      <w:r w:rsidRPr="00822BD6" w:rsidR="009876B2">
        <w:rPr>
          <w:sz w:val="22"/>
          <w:szCs w:val="22"/>
        </w:rPr>
        <w:tab/>
      </w:r>
      <w:r w:rsidR="008D00A6">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00737BDA">
        <w:rPr>
          <w:sz w:val="22"/>
          <w:szCs w:val="22"/>
        </w:rPr>
        <w:t>EB-FIELDWR-16</w:t>
      </w:r>
      <w:r w:rsidRPr="00E237AA" w:rsidR="00E237AA">
        <w:rPr>
          <w:sz w:val="22"/>
          <w:szCs w:val="22"/>
        </w:rPr>
        <w:t>-0002</w:t>
      </w:r>
      <w:r>
        <w:rPr>
          <w:sz w:val="22"/>
          <w:szCs w:val="22"/>
        </w:rPr>
        <w:t>1667</w:t>
      </w:r>
    </w:p>
    <w:p w:rsidR="00B61C91" w:rsidRPr="00822BD6" w:rsidP="002A75F0">
      <w:pPr>
        <w:tabs>
          <w:tab w:val="left" w:pos="4680"/>
          <w:tab w:val="left" w:pos="6480"/>
        </w:tabs>
        <w:spacing w:line="226" w:lineRule="auto"/>
        <w:jc w:val="both"/>
        <w:rPr>
          <w:szCs w:val="22"/>
        </w:rPr>
      </w:pPr>
      <w:r>
        <w:rPr>
          <w:sz w:val="22"/>
          <w:szCs w:val="22"/>
        </w:rPr>
        <w:t xml:space="preserve">Licensee </w:t>
      </w:r>
      <w:r w:rsidR="00E237AA">
        <w:rPr>
          <w:sz w:val="22"/>
          <w:szCs w:val="22"/>
        </w:rPr>
        <w:t xml:space="preserve">of Station </w:t>
      </w:r>
      <w:r w:rsidR="002E6091">
        <w:rPr>
          <w:sz w:val="22"/>
          <w:szCs w:val="22"/>
        </w:rPr>
        <w:t>K</w:t>
      </w:r>
      <w:r w:rsidR="00903AF7">
        <w:rPr>
          <w:sz w:val="22"/>
          <w:szCs w:val="22"/>
        </w:rPr>
        <w:t>WCB-LP</w:t>
      </w:r>
      <w:r w:rsidRPr="00822BD6" w:rsidR="0015777C">
        <w:rPr>
          <w:sz w:val="22"/>
          <w:szCs w:val="22"/>
        </w:rPr>
        <w:tab/>
        <w:t>)</w:t>
      </w:r>
      <w:r w:rsidRPr="008D00A6" w:rsidR="008D00A6">
        <w:rPr>
          <w:szCs w:val="22"/>
        </w:rPr>
        <w:t xml:space="preserve"> </w:t>
      </w:r>
      <w:r w:rsidR="008D00A6">
        <w:rPr>
          <w:szCs w:val="22"/>
        </w:rPr>
        <w:t xml:space="preserve">                   </w:t>
      </w:r>
      <w:r w:rsidRPr="008D00A6" w:rsidR="008D00A6">
        <w:rPr>
          <w:sz w:val="22"/>
          <w:szCs w:val="22"/>
        </w:rPr>
        <w:t>Facility ID: 124267</w:t>
      </w:r>
    </w:p>
    <w:p w:rsidR="000A3AC7">
      <w:pPr>
        <w:pStyle w:val="BodyText2"/>
        <w:tabs>
          <w:tab w:val="left" w:pos="4680"/>
          <w:tab w:val="left" w:pos="5760"/>
        </w:tabs>
        <w:spacing w:line="226" w:lineRule="auto"/>
        <w:rPr>
          <w:szCs w:val="22"/>
        </w:rPr>
      </w:pPr>
      <w:r>
        <w:rPr>
          <w:szCs w:val="22"/>
        </w:rPr>
        <w:tab/>
        <w:t>)</w:t>
      </w:r>
      <w:r w:rsidR="008D00A6">
        <w:rPr>
          <w:szCs w:val="22"/>
        </w:rPr>
        <w:tab/>
        <w:t>FRN: 0007978414</w:t>
      </w:r>
    </w:p>
    <w:p w:rsidR="00354D4C" w:rsidRPr="00A902A9" w:rsidP="00A902A9">
      <w:pPr>
        <w:pStyle w:val="BodyText2"/>
        <w:tabs>
          <w:tab w:val="left" w:pos="4680"/>
          <w:tab w:val="left" w:pos="5400"/>
        </w:tabs>
        <w:spacing w:line="226" w:lineRule="auto"/>
        <w:rPr>
          <w:szCs w:val="22"/>
        </w:rPr>
      </w:pPr>
      <w:r>
        <w:rPr>
          <w:szCs w:val="22"/>
        </w:rPr>
        <w:t>Wasco, California</w:t>
      </w:r>
      <w:r w:rsidR="000A3AC7">
        <w:rPr>
          <w:szCs w:val="22"/>
        </w:rPr>
        <w:tab/>
      </w:r>
      <w:r w:rsidR="00A34F88">
        <w:rPr>
          <w:szCs w:val="22"/>
        </w:rPr>
        <w:t>)</w:t>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sidRPr="009876B2">
        <w:rPr>
          <w:color w:val="FF0000"/>
          <w:szCs w:val="22"/>
        </w:rPr>
        <w:tab/>
      </w:r>
      <w:r w:rsidRPr="00B42F55">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00E3302A">
        <w:rPr>
          <w:szCs w:val="22"/>
        </w:rPr>
        <w:t xml:space="preserve">Released: </w:t>
      </w:r>
      <w:r w:rsidR="009B5929">
        <w:rPr>
          <w:szCs w:val="22"/>
        </w:rPr>
        <w:t xml:space="preserve"> December 27, 2018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10D69">
        <w:rPr>
          <w:sz w:val="22"/>
          <w:szCs w:val="22"/>
        </w:rPr>
        <w:t>gional Director, Region Three</w:t>
      </w:r>
      <w:r w:rsidR="00CA5EF0">
        <w:rPr>
          <w:sz w:val="22"/>
          <w:szCs w:val="22"/>
        </w:rPr>
        <w:t>, Enforcement Bureau</w:t>
      </w:r>
      <w:r w:rsidRPr="00822BD6">
        <w:rPr>
          <w:sz w:val="22"/>
          <w:szCs w:val="22"/>
        </w:rPr>
        <w:t>:</w:t>
      </w: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006909D2">
        <w:rPr>
          <w:szCs w:val="22"/>
        </w:rPr>
        <w:t>Rosecorp Trust</w:t>
      </w:r>
      <w:r w:rsidR="002E6091">
        <w:rPr>
          <w:szCs w:val="22"/>
        </w:rPr>
        <w:t xml:space="preserve"> </w:t>
      </w:r>
      <w:r w:rsidR="00302C75">
        <w:rPr>
          <w:szCs w:val="22"/>
        </w:rPr>
        <w:t>(Rosecorp)</w:t>
      </w:r>
      <w:r w:rsidR="002D49D4">
        <w:rPr>
          <w:szCs w:val="22"/>
        </w:rPr>
        <w:t>,</w:t>
      </w:r>
      <w:r w:rsidR="00302C75">
        <w:rPr>
          <w:szCs w:val="22"/>
        </w:rPr>
        <w:t xml:space="preserve"> </w:t>
      </w:r>
      <w:r w:rsidR="008D55CB">
        <w:rPr>
          <w:szCs w:val="22"/>
        </w:rPr>
        <w:t>licensee of</w:t>
      </w:r>
      <w:r w:rsidR="004217A3">
        <w:rPr>
          <w:szCs w:val="22"/>
        </w:rPr>
        <w:t xml:space="preserve"> </w:t>
      </w:r>
      <w:r w:rsidR="00277C6A">
        <w:rPr>
          <w:szCs w:val="22"/>
        </w:rPr>
        <w:t xml:space="preserve">Low Powered </w:t>
      </w:r>
      <w:r w:rsidR="00705979">
        <w:rPr>
          <w:szCs w:val="22"/>
        </w:rPr>
        <w:t xml:space="preserve">FM </w:t>
      </w:r>
      <w:r w:rsidR="00277C6A">
        <w:rPr>
          <w:szCs w:val="22"/>
        </w:rPr>
        <w:t xml:space="preserve">(LPFM) </w:t>
      </w:r>
      <w:r w:rsidR="00705979">
        <w:rPr>
          <w:szCs w:val="22"/>
        </w:rPr>
        <w:t>s</w:t>
      </w:r>
      <w:r w:rsidR="004C77CE">
        <w:rPr>
          <w:szCs w:val="22"/>
        </w:rPr>
        <w:t>tation</w:t>
      </w:r>
      <w:r w:rsidRPr="00822BD6">
        <w:rPr>
          <w:szCs w:val="22"/>
        </w:rPr>
        <w:t xml:space="preserve"> </w:t>
      </w:r>
      <w:r w:rsidR="000B66D0">
        <w:rPr>
          <w:szCs w:val="22"/>
        </w:rPr>
        <w:t>KWCB-LP</w:t>
      </w:r>
      <w:r w:rsidR="00C34A25">
        <w:rPr>
          <w:szCs w:val="22"/>
        </w:rPr>
        <w:t xml:space="preserve"> </w:t>
      </w:r>
      <w:r w:rsidR="00CA5EF0">
        <w:rPr>
          <w:szCs w:val="22"/>
        </w:rPr>
        <w:t>in</w:t>
      </w:r>
      <w:r w:rsidR="00705979">
        <w:rPr>
          <w:szCs w:val="22"/>
        </w:rPr>
        <w:t xml:space="preserve"> </w:t>
      </w:r>
      <w:r w:rsidR="00A34F88">
        <w:rPr>
          <w:szCs w:val="22"/>
        </w:rPr>
        <w:t>Wasco</w:t>
      </w:r>
      <w:r w:rsidR="00C34A25">
        <w:rPr>
          <w:szCs w:val="22"/>
        </w:rPr>
        <w:t>, California</w:t>
      </w:r>
      <w:r w:rsidRPr="00822BD6">
        <w:rPr>
          <w:szCs w:val="22"/>
        </w:rPr>
        <w:t>.</w:t>
      </w:r>
      <w:r w:rsidRPr="004238C5">
        <w:rPr>
          <w:szCs w:val="22"/>
        </w:rPr>
        <w:t xml:space="preserve"> </w:t>
      </w:r>
      <w:r w:rsidRPr="004238C5" w:rsidR="0072561F">
        <w:rPr>
          <w:szCs w:val="22"/>
        </w:rPr>
        <w:t xml:space="preserve"> </w:t>
      </w:r>
      <w:r w:rsidRPr="003D6B43" w:rsidR="001C658F">
        <w:rPr>
          <w:szCs w:val="22"/>
        </w:rPr>
        <w:t>Pursuant to Section 1.89(a) of the Rules, issuance of this N</w:t>
      </w:r>
      <w:r w:rsidR="00F13A1B">
        <w:rPr>
          <w:szCs w:val="22"/>
        </w:rPr>
        <w:t>otice</w:t>
      </w:r>
      <w:r w:rsidRPr="003D6B43" w:rsidR="001C658F">
        <w:rPr>
          <w:szCs w:val="22"/>
        </w:rPr>
        <w:t xml:space="preserve">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F25C72">
        <w:rPr>
          <w:rFonts w:ascii="Times New Roman" w:hAnsi="Times New Roman"/>
          <w:sz w:val="22"/>
          <w:szCs w:val="22"/>
        </w:rPr>
        <w:t>November 14</w:t>
      </w:r>
      <w:r w:rsidR="001124E9">
        <w:rPr>
          <w:rFonts w:ascii="Times New Roman" w:hAnsi="Times New Roman"/>
          <w:sz w:val="22"/>
          <w:szCs w:val="22"/>
        </w:rPr>
        <w:t xml:space="preserve">, </w:t>
      </w:r>
      <w:r w:rsidR="00F25C72">
        <w:rPr>
          <w:rFonts w:ascii="Times New Roman" w:hAnsi="Times New Roman"/>
          <w:sz w:val="22"/>
          <w:szCs w:val="22"/>
        </w:rPr>
        <w:t xml:space="preserve">2017, during </w:t>
      </w:r>
      <w:r w:rsidR="00AF7032">
        <w:rPr>
          <w:rFonts w:ascii="Times New Roman" w:hAnsi="Times New Roman"/>
          <w:sz w:val="22"/>
          <w:szCs w:val="22"/>
        </w:rPr>
        <w:t xml:space="preserve">an </w:t>
      </w:r>
      <w:r w:rsidR="00F56907">
        <w:rPr>
          <w:rFonts w:ascii="Times New Roman" w:hAnsi="Times New Roman"/>
          <w:sz w:val="22"/>
          <w:szCs w:val="22"/>
        </w:rPr>
        <w:t>inspection</w:t>
      </w:r>
      <w:r w:rsidR="00F25C72">
        <w:rPr>
          <w:rFonts w:ascii="Times New Roman" w:hAnsi="Times New Roman"/>
          <w:sz w:val="22"/>
          <w:szCs w:val="22"/>
        </w:rPr>
        <w:t xml:space="preserve"> and in </w:t>
      </w:r>
      <w:r w:rsidR="00302C75">
        <w:rPr>
          <w:rFonts w:ascii="Times New Roman" w:hAnsi="Times New Roman"/>
          <w:sz w:val="22"/>
          <w:szCs w:val="22"/>
        </w:rPr>
        <w:t xml:space="preserve">reviewing Rosecorp’s </w:t>
      </w:r>
      <w:r w:rsidR="00F25C72">
        <w:rPr>
          <w:rFonts w:ascii="Times New Roman" w:hAnsi="Times New Roman"/>
          <w:sz w:val="22"/>
          <w:szCs w:val="22"/>
        </w:rPr>
        <w:t>response to the Commissions L</w:t>
      </w:r>
      <w:r w:rsidR="00E45CCD">
        <w:rPr>
          <w:rFonts w:ascii="Times New Roman" w:hAnsi="Times New Roman"/>
          <w:sz w:val="22"/>
          <w:szCs w:val="22"/>
        </w:rPr>
        <w:t>etter of Inquiry (LOI) dated August 29, 2018,</w:t>
      </w:r>
      <w:r w:rsidR="00F25C72">
        <w:rPr>
          <w:rFonts w:ascii="Times New Roman" w:hAnsi="Times New Roman"/>
          <w:sz w:val="22"/>
          <w:szCs w:val="22"/>
        </w:rPr>
        <w:t xml:space="preserve"> Agents of  the </w:t>
      </w:r>
      <w:r w:rsidR="00705979">
        <w:rPr>
          <w:rFonts w:ascii="Times New Roman" w:hAnsi="Times New Roman"/>
          <w:sz w:val="22"/>
          <w:szCs w:val="22"/>
        </w:rPr>
        <w:t xml:space="preserve">Enforcement Bureau’s </w:t>
      </w:r>
      <w:r w:rsidR="00C34A25">
        <w:rPr>
          <w:rFonts w:ascii="Times New Roman" w:hAnsi="Times New Roman"/>
          <w:sz w:val="22"/>
          <w:szCs w:val="22"/>
        </w:rPr>
        <w:t>Los Angeles</w:t>
      </w:r>
      <w:r w:rsidR="00705979">
        <w:rPr>
          <w:rFonts w:ascii="Times New Roman" w:hAnsi="Times New Roman"/>
          <w:sz w:val="22"/>
          <w:szCs w:val="22"/>
        </w:rPr>
        <w:t xml:space="preserve"> </w:t>
      </w:r>
      <w:r w:rsidR="00E06240">
        <w:rPr>
          <w:rFonts w:ascii="Times New Roman" w:hAnsi="Times New Roman"/>
          <w:sz w:val="22"/>
          <w:szCs w:val="22"/>
        </w:rPr>
        <w:t>O</w:t>
      </w:r>
      <w:r w:rsidR="002D6762">
        <w:rPr>
          <w:rFonts w:ascii="Times New Roman" w:hAnsi="Times New Roman"/>
          <w:sz w:val="22"/>
          <w:szCs w:val="22"/>
        </w:rPr>
        <w:t xml:space="preserve">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C22019" w:rsidRPr="000D4F25" w:rsidP="00C22019">
      <w:pPr>
        <w:pStyle w:val="ListParagraph"/>
        <w:numPr>
          <w:ilvl w:val="1"/>
          <w:numId w:val="16"/>
        </w:numPr>
        <w:tabs>
          <w:tab w:val="num" w:pos="1800"/>
        </w:tabs>
        <w:spacing w:after="120"/>
        <w:ind w:left="1080" w:right="720" w:hanging="720"/>
        <w:contextualSpacing/>
        <w:rPr>
          <w:sz w:val="22"/>
          <w:szCs w:val="22"/>
        </w:rPr>
      </w:pPr>
      <w:r>
        <w:rPr>
          <w:sz w:val="22"/>
          <w:szCs w:val="22"/>
        </w:rPr>
        <w:t xml:space="preserve">47 </w:t>
      </w:r>
      <w:r w:rsidR="009811C2">
        <w:rPr>
          <w:color w:val="000000"/>
          <w:sz w:val="22"/>
          <w:szCs w:val="22"/>
        </w:rPr>
        <w:t xml:space="preserve">C.F.R. § </w:t>
      </w:r>
      <w:r w:rsidR="00993971">
        <w:rPr>
          <w:color w:val="000000"/>
          <w:sz w:val="22"/>
          <w:szCs w:val="22"/>
        </w:rPr>
        <w:t>11.</w:t>
      </w:r>
      <w:r w:rsidR="00C11E29">
        <w:rPr>
          <w:color w:val="000000"/>
          <w:sz w:val="22"/>
          <w:szCs w:val="22"/>
        </w:rPr>
        <w:t>35(a</w:t>
      </w:r>
      <w:r w:rsidR="00993971">
        <w:rPr>
          <w:color w:val="000000"/>
          <w:sz w:val="22"/>
          <w:szCs w:val="22"/>
        </w:rPr>
        <w:t>)</w:t>
      </w:r>
      <w:r w:rsidR="00590973">
        <w:rPr>
          <w:color w:val="000000"/>
          <w:sz w:val="22"/>
          <w:szCs w:val="22"/>
        </w:rPr>
        <w:t>:</w:t>
      </w:r>
      <w:r w:rsidR="009811C2">
        <w:rPr>
          <w:color w:val="000000"/>
          <w:sz w:val="22"/>
          <w:szCs w:val="22"/>
        </w:rPr>
        <w:t xml:space="preserve"> “</w:t>
      </w:r>
      <w:r w:rsidRPr="00C11E29" w:rsidR="00C11E29">
        <w:rPr>
          <w:color w:val="000000"/>
          <w:sz w:val="22"/>
          <w:szCs w:val="22"/>
        </w:rPr>
        <w:t>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w:t>
      </w:r>
      <w:r w:rsidRPr="00C11E29" w:rsidR="00C11E29">
        <w:rPr>
          <w:color w:val="000000"/>
          <w:sz w:val="22"/>
          <w:szCs w:val="22"/>
        </w:rPr>
        <w:t xml:space="preserve">pants must determine the cause of any failure to receive the required tests or activations specified in §11.61(a)(1) and (2). </w:t>
      </w:r>
      <w:r w:rsidR="00C11E29">
        <w:rPr>
          <w:color w:val="000000"/>
          <w:sz w:val="22"/>
          <w:szCs w:val="22"/>
        </w:rPr>
        <w:t>…</w:t>
      </w:r>
      <w:r w:rsidRPr="00C11E29" w:rsidR="00C11E29">
        <w:rPr>
          <w:color w:val="000000"/>
          <w:sz w:val="22"/>
          <w:szCs w:val="22"/>
        </w:rPr>
        <w:t xml:space="preserve"> All other EAS Participants must also keep records indicating reasons why any tests were not received and these records must be retained for two years, maintained at the EAS Participant's headquarters, and made available for public inspection upon reasonable reques</w:t>
      </w:r>
      <w:r w:rsidR="00C11E29">
        <w:rPr>
          <w:color w:val="000000"/>
          <w:sz w:val="22"/>
          <w:szCs w:val="22"/>
        </w:rPr>
        <w:t>t</w:t>
      </w:r>
      <w:r w:rsidR="00993971">
        <w:rPr>
          <w:color w:val="000000"/>
          <w:sz w:val="22"/>
          <w:szCs w:val="22"/>
        </w:rPr>
        <w:t xml:space="preserve">.” </w:t>
      </w:r>
      <w:r w:rsidR="00793151">
        <w:rPr>
          <w:color w:val="000000"/>
          <w:sz w:val="22"/>
          <w:szCs w:val="22"/>
        </w:rPr>
        <w:t xml:space="preserve">A review of </w:t>
      </w:r>
      <w:r w:rsidR="00590973">
        <w:rPr>
          <w:color w:val="000000"/>
          <w:sz w:val="22"/>
          <w:szCs w:val="22"/>
        </w:rPr>
        <w:t>EAS records from August</w:t>
      </w:r>
      <w:r w:rsidR="00E06240">
        <w:rPr>
          <w:color w:val="000000"/>
          <w:sz w:val="22"/>
          <w:szCs w:val="22"/>
        </w:rPr>
        <w:t> </w:t>
      </w:r>
      <w:r w:rsidR="00590973">
        <w:rPr>
          <w:color w:val="000000"/>
          <w:sz w:val="22"/>
          <w:szCs w:val="22"/>
        </w:rPr>
        <w:t>11, 2017 until August 28, 2018 (55 weeks), which</w:t>
      </w:r>
      <w:r w:rsidR="00302C75">
        <w:rPr>
          <w:color w:val="000000"/>
          <w:sz w:val="22"/>
          <w:szCs w:val="22"/>
        </w:rPr>
        <w:t xml:space="preserve"> were provided by Rosecorp</w:t>
      </w:r>
      <w:r w:rsidR="00590973">
        <w:rPr>
          <w:color w:val="000000"/>
          <w:sz w:val="22"/>
          <w:szCs w:val="22"/>
        </w:rPr>
        <w:t xml:space="preserve"> in response to the </w:t>
      </w:r>
      <w:r w:rsidR="00C11E29">
        <w:rPr>
          <w:color w:val="000000"/>
          <w:sz w:val="22"/>
          <w:szCs w:val="22"/>
        </w:rPr>
        <w:t xml:space="preserve">Commission’s </w:t>
      </w:r>
      <w:r w:rsidR="00590973">
        <w:rPr>
          <w:color w:val="000000"/>
          <w:sz w:val="22"/>
          <w:szCs w:val="22"/>
        </w:rPr>
        <w:t>LOI</w:t>
      </w:r>
      <w:r w:rsidR="00C11E29">
        <w:rPr>
          <w:color w:val="000000"/>
          <w:sz w:val="22"/>
          <w:szCs w:val="22"/>
        </w:rPr>
        <w:t>,</w:t>
      </w:r>
      <w:r w:rsidR="00590973">
        <w:rPr>
          <w:color w:val="000000"/>
          <w:sz w:val="22"/>
          <w:szCs w:val="22"/>
        </w:rPr>
        <w:t xml:space="preserve"> revealed that no tests or alerts were received </w:t>
      </w:r>
      <w:r w:rsidR="00E41FB0">
        <w:rPr>
          <w:color w:val="000000"/>
          <w:sz w:val="22"/>
          <w:szCs w:val="22"/>
        </w:rPr>
        <w:t>for 24 of the 55 weeks. T</w:t>
      </w:r>
      <w:r w:rsidR="00C11E29">
        <w:rPr>
          <w:color w:val="000000"/>
          <w:sz w:val="22"/>
          <w:szCs w:val="22"/>
        </w:rPr>
        <w:t>hese records also indicate</w:t>
      </w:r>
      <w:r w:rsidR="005254E7">
        <w:rPr>
          <w:color w:val="000000"/>
          <w:sz w:val="22"/>
          <w:szCs w:val="22"/>
        </w:rPr>
        <w:t>d</w:t>
      </w:r>
      <w:r w:rsidR="00C11E29">
        <w:rPr>
          <w:color w:val="000000"/>
          <w:sz w:val="22"/>
          <w:szCs w:val="22"/>
        </w:rPr>
        <w:t xml:space="preserve"> that, for the other 31 weeks, tests and alerts from only </w:t>
      </w:r>
      <w:r w:rsidR="00E41FB0">
        <w:rPr>
          <w:color w:val="000000"/>
          <w:sz w:val="22"/>
          <w:szCs w:val="22"/>
        </w:rPr>
        <w:t xml:space="preserve">one of the two required off-the-air sources </w:t>
      </w:r>
      <w:r w:rsidR="00302C75">
        <w:rPr>
          <w:color w:val="000000"/>
          <w:sz w:val="22"/>
          <w:szCs w:val="22"/>
        </w:rPr>
        <w:t xml:space="preserve">were </w:t>
      </w:r>
      <w:r w:rsidR="00C11E29">
        <w:rPr>
          <w:color w:val="000000"/>
          <w:sz w:val="22"/>
          <w:szCs w:val="22"/>
        </w:rPr>
        <w:t>received.</w:t>
      </w:r>
      <w:r>
        <w:rPr>
          <w:color w:val="000000"/>
          <w:sz w:val="22"/>
          <w:szCs w:val="22"/>
        </w:rPr>
        <w:t xml:space="preserve">  </w:t>
      </w:r>
      <w:r w:rsidR="00E76D2D">
        <w:rPr>
          <w:color w:val="000000"/>
          <w:sz w:val="22"/>
          <w:szCs w:val="22"/>
        </w:rPr>
        <w:t xml:space="preserve">Additionally, the records indicate that after January 8, 2018, </w:t>
      </w:r>
      <w:r w:rsidR="00302C75">
        <w:rPr>
          <w:color w:val="000000"/>
          <w:sz w:val="22"/>
          <w:szCs w:val="22"/>
        </w:rPr>
        <w:t xml:space="preserve">for </w:t>
      </w:r>
      <w:r w:rsidR="00AA0EB8">
        <w:rPr>
          <w:color w:val="000000"/>
          <w:sz w:val="22"/>
          <w:szCs w:val="22"/>
        </w:rPr>
        <w:t xml:space="preserve">the </w:t>
      </w:r>
      <w:r w:rsidR="00302C75">
        <w:rPr>
          <w:color w:val="000000"/>
          <w:sz w:val="22"/>
          <w:szCs w:val="22"/>
        </w:rPr>
        <w:t xml:space="preserve">33 </w:t>
      </w:r>
      <w:r w:rsidR="00AA0EB8">
        <w:rPr>
          <w:color w:val="000000"/>
          <w:sz w:val="22"/>
          <w:szCs w:val="22"/>
        </w:rPr>
        <w:t xml:space="preserve">subsequent </w:t>
      </w:r>
      <w:r w:rsidR="00302C75">
        <w:rPr>
          <w:color w:val="000000"/>
          <w:sz w:val="22"/>
          <w:szCs w:val="22"/>
        </w:rPr>
        <w:t xml:space="preserve">weeks, </w:t>
      </w:r>
      <w:r w:rsidR="00E76D2D">
        <w:rPr>
          <w:color w:val="000000"/>
          <w:sz w:val="22"/>
          <w:szCs w:val="22"/>
        </w:rPr>
        <w:t xml:space="preserve">no records of tests or alerts from the </w:t>
      </w:r>
      <w:r w:rsidRPr="00C11BD2" w:rsidR="00C11BD2">
        <w:rPr>
          <w:color w:val="000000"/>
          <w:sz w:val="22"/>
          <w:szCs w:val="22"/>
        </w:rPr>
        <w:t xml:space="preserve">Common Alert Protocol (CAP)-formatted alert </w:t>
      </w:r>
      <w:r w:rsidR="00E76D2D">
        <w:rPr>
          <w:color w:val="000000"/>
          <w:sz w:val="22"/>
          <w:szCs w:val="22"/>
        </w:rPr>
        <w:t>were received</w:t>
      </w:r>
      <w:r w:rsidR="00302C75">
        <w:rPr>
          <w:color w:val="000000"/>
          <w:sz w:val="22"/>
          <w:szCs w:val="22"/>
        </w:rPr>
        <w:t xml:space="preserve">. </w:t>
      </w:r>
      <w:r w:rsidR="00C11E29">
        <w:rPr>
          <w:color w:val="000000"/>
          <w:sz w:val="22"/>
          <w:szCs w:val="22"/>
        </w:rPr>
        <w:t>In response to the Commission’s LOI</w:t>
      </w:r>
      <w:r w:rsidR="00F25C72">
        <w:rPr>
          <w:color w:val="000000"/>
          <w:sz w:val="22"/>
          <w:szCs w:val="22"/>
        </w:rPr>
        <w:t>,</w:t>
      </w:r>
      <w:r w:rsidR="00C11E29">
        <w:rPr>
          <w:color w:val="000000"/>
          <w:sz w:val="22"/>
          <w:szCs w:val="22"/>
        </w:rPr>
        <w:t xml:space="preserve"> Rosecorp reported that it was not monitoring the correct second </w:t>
      </w:r>
      <w:r w:rsidR="00302C75">
        <w:rPr>
          <w:color w:val="000000"/>
          <w:sz w:val="22"/>
          <w:szCs w:val="22"/>
        </w:rPr>
        <w:t>off-the</w:t>
      </w:r>
      <w:r w:rsidR="00E06240">
        <w:rPr>
          <w:color w:val="000000"/>
          <w:sz w:val="22"/>
          <w:szCs w:val="22"/>
        </w:rPr>
        <w:t>-</w:t>
      </w:r>
      <w:r w:rsidR="00302C75">
        <w:rPr>
          <w:color w:val="000000"/>
          <w:sz w:val="22"/>
          <w:szCs w:val="22"/>
        </w:rPr>
        <w:t>air LP station</w:t>
      </w:r>
      <w:r w:rsidR="005B5A53">
        <w:rPr>
          <w:color w:val="000000"/>
          <w:sz w:val="22"/>
          <w:szCs w:val="22"/>
        </w:rPr>
        <w:t xml:space="preserve">. </w:t>
      </w:r>
      <w:r w:rsidR="00302C75">
        <w:rPr>
          <w:color w:val="000000"/>
          <w:sz w:val="22"/>
          <w:szCs w:val="22"/>
        </w:rPr>
        <w:t xml:space="preserve"> </w:t>
      </w:r>
      <w:r w:rsidR="005B5A53">
        <w:rPr>
          <w:color w:val="000000"/>
          <w:sz w:val="22"/>
          <w:szCs w:val="22"/>
        </w:rPr>
        <w:t>H</w:t>
      </w:r>
      <w:r w:rsidR="00C11E29">
        <w:rPr>
          <w:color w:val="000000"/>
          <w:sz w:val="22"/>
          <w:szCs w:val="22"/>
        </w:rPr>
        <w:t xml:space="preserve">owever the records provided </w:t>
      </w:r>
      <w:r w:rsidR="00F25C72">
        <w:rPr>
          <w:color w:val="000000"/>
          <w:sz w:val="22"/>
          <w:szCs w:val="22"/>
        </w:rPr>
        <w:t>do not indicate that any second LP station was ever monitored.</w:t>
      </w:r>
      <w:r w:rsidR="000D4F25">
        <w:rPr>
          <w:color w:val="000000"/>
          <w:sz w:val="22"/>
          <w:szCs w:val="22"/>
        </w:rPr>
        <w:br/>
      </w:r>
    </w:p>
    <w:p w:rsidR="000D4F25" w:rsidRPr="000D4F25" w:rsidP="000D4F25">
      <w:pPr>
        <w:pStyle w:val="ListParagraph"/>
        <w:numPr>
          <w:ilvl w:val="1"/>
          <w:numId w:val="16"/>
        </w:numPr>
        <w:tabs>
          <w:tab w:val="num" w:pos="1800"/>
        </w:tabs>
        <w:spacing w:after="120"/>
        <w:ind w:left="1080" w:right="720" w:hanging="720"/>
        <w:contextualSpacing/>
        <w:rPr>
          <w:sz w:val="22"/>
          <w:szCs w:val="22"/>
        </w:rPr>
      </w:pPr>
      <w:r>
        <w:rPr>
          <w:sz w:val="22"/>
          <w:szCs w:val="22"/>
        </w:rPr>
        <w:t xml:space="preserve">47 C.F.R. 11.41 </w:t>
      </w:r>
      <w:r w:rsidRPr="000D4F25">
        <w:rPr>
          <w:sz w:val="22"/>
          <w:szCs w:val="22"/>
        </w:rPr>
        <w:t>“All EAS Participants specified in §11.11 are categorized as Participating National (PN) sources, and must have immediate access to an EAS Operating Handbook.” During the inspection on November 14, 2017 the licensee’s representative did not have access to an EAS Operating Handbook. In the licensee’s response to the LOI, he reported that the EAS Handbook was not available at the operator’s duty station from June 20, 2017 until November 14, 2017.</w:t>
      </w:r>
    </w:p>
    <w:p w:rsidR="00B80784" w:rsidP="00A902A9">
      <w:pPr>
        <w:ind w:left="1620" w:right="720" w:hanging="540"/>
        <w:rPr>
          <w:sz w:val="22"/>
          <w:szCs w:val="22"/>
        </w:rPr>
      </w:pPr>
    </w:p>
    <w:p w:rsidR="001075F6" w:rsidRPr="001075F6" w:rsidP="00F66A8F">
      <w:pPr>
        <w:pStyle w:val="BodyTextIndent3"/>
        <w:numPr>
          <w:ilvl w:val="0"/>
          <w:numId w:val="10"/>
        </w:numPr>
        <w:tabs>
          <w:tab w:val="num" w:pos="0"/>
          <w:tab w:val="clear" w:pos="720"/>
        </w:tabs>
        <w:ind w:left="0" w:firstLine="720"/>
        <w:jc w:val="left"/>
        <w:rPr>
          <w:szCs w:val="22"/>
        </w:rPr>
      </w:pPr>
      <w:r>
        <w:t>A</w:t>
      </w:r>
      <w:r w:rsidRPr="008F05EC">
        <w:t xml:space="preserve">s the nation’s emergency warning system, the Emergency Alert System is critical to public safety, and we recognize the vital role that </w:t>
      </w:r>
      <w:r>
        <w:t>b</w:t>
      </w:r>
      <w:r w:rsidRPr="008F05EC">
        <w:t xml:space="preserve">roadcasters play in ensuring its success.  The Commission takes seriously any violations of </w:t>
      </w:r>
      <w:r>
        <w:t xml:space="preserve">its rules </w:t>
      </w:r>
      <w:r w:rsidRPr="008F05EC">
        <w:t>implementing the EAS and expects full compliance from its regulatees.</w:t>
      </w:r>
    </w:p>
    <w:p w:rsidR="001075F6" w:rsidRPr="001075F6" w:rsidP="001075F6">
      <w:pPr>
        <w:pStyle w:val="BodyTextIndent3"/>
        <w:ind w:left="720" w:firstLine="0"/>
        <w:jc w:val="left"/>
        <w:rPr>
          <w:szCs w:val="22"/>
        </w:rPr>
      </w:pPr>
    </w:p>
    <w:p w:rsidR="001075F6" w:rsidRPr="000163F1" w:rsidP="001075F6">
      <w:pPr>
        <w:pStyle w:val="BodyTextIndent3"/>
        <w:numPr>
          <w:ilvl w:val="0"/>
          <w:numId w:val="10"/>
        </w:numPr>
        <w:tabs>
          <w:tab w:val="num" w:pos="0"/>
          <w:tab w:val="clear" w:pos="720"/>
        </w:tabs>
        <w:ind w:left="0" w:firstLine="720"/>
        <w:jc w:val="left"/>
        <w:rPr>
          <w:szCs w:val="22"/>
        </w:rPr>
      </w:pPr>
      <w:r w:rsidRPr="008F05EC">
        <w:t>Pursuant to Section 308(b) of the Communications Act of 1934, as amended</w:t>
      </w:r>
      <w:r>
        <w:t xml:space="preserve"> (Act)</w:t>
      </w:r>
      <w:r w:rsidRPr="008F05EC">
        <w:t xml:space="preserve">, and Section 1.89 of the </w:t>
      </w:r>
      <w:r>
        <w:t>Commission’s r</w:t>
      </w:r>
      <w:r w:rsidRPr="008F05EC">
        <w:t>ules, we seek additional information concerning the violations and any remedial actions taken.</w:t>
      </w:r>
      <w:r>
        <w:rPr>
          <w:rStyle w:val="FootnoteReference"/>
        </w:rPr>
        <w:footnoteReference w:id="4"/>
      </w:r>
      <w:r w:rsidRPr="008F05EC">
        <w:t xml:space="preserve">  Therefore, </w:t>
      </w:r>
      <w:r>
        <w:t>Rosecorp</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 xml:space="preserve">must contain a statement of the specific action(s) taken to correct each violation and preclude recurrence, </w:t>
      </w:r>
      <w:r w:rsidRPr="008F05EC">
        <w:t>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5"/>
      </w:r>
    </w:p>
    <w:p w:rsidR="000163F1" w:rsidP="000163F1">
      <w:pPr>
        <w:pStyle w:val="ListParagraph"/>
        <w:rPr>
          <w:szCs w:val="22"/>
        </w:rPr>
      </w:pPr>
    </w:p>
    <w:p w:rsidR="001075F6" w:rsidRPr="000163F1" w:rsidP="000163F1">
      <w:pPr>
        <w:pStyle w:val="BodyTextIndent3"/>
        <w:numPr>
          <w:ilvl w:val="0"/>
          <w:numId w:val="10"/>
        </w:numPr>
        <w:tabs>
          <w:tab w:val="num" w:pos="0"/>
          <w:tab w:val="clear" w:pos="720"/>
        </w:tabs>
        <w:ind w:left="0" w:firstLine="720"/>
        <w:jc w:val="left"/>
        <w:rPr>
          <w:szCs w:val="22"/>
        </w:rPr>
      </w:pPr>
      <w:r w:rsidRPr="001075F6">
        <w:rPr>
          <w:kern w:val="28"/>
        </w:rPr>
        <w:t xml:space="preserve">In accordance with Section 1.16 of the Commission’s rules, we direct </w:t>
      </w:r>
      <w:r w:rsidR="000163F1">
        <w:rPr>
          <w:kern w:val="28"/>
        </w:rPr>
        <w:t>Rosecorp</w:t>
      </w:r>
      <w:r w:rsidRPr="001075F6">
        <w:rPr>
          <w:kern w:val="28"/>
        </w:rPr>
        <w:t xml:space="preserve"> to support its response to this Notice with an affidavit or declaration under penalty of perjury, signed and dated by an authorized officer of </w:t>
      </w:r>
      <w:r w:rsidR="000163F1">
        <w:rPr>
          <w:kern w:val="28"/>
        </w:rPr>
        <w:t>Rosecorp</w:t>
      </w:r>
      <w:r w:rsidRPr="001075F6">
        <w:rPr>
          <w:kern w:val="28"/>
        </w:rPr>
        <w:t xml:space="preserve"> with personal knowledge of the representations provided in </w:t>
      </w:r>
      <w:r w:rsidR="000163F1">
        <w:rPr>
          <w:kern w:val="28"/>
        </w:rPr>
        <w:t>Rosecorp’s</w:t>
      </w:r>
      <w:r w:rsidRPr="001075F6">
        <w:rPr>
          <w:kern w:val="28"/>
        </w:rPr>
        <w:t xml:space="preserve"> response, verifying the truth and accuracy of the information therein, and confirming that all of the information requested by this Notice which is in the licensee’s possession, custody, control, or knowledge has been produced.</w:t>
      </w:r>
      <w:r>
        <w:rPr>
          <w:kern w:val="28"/>
          <w:vertAlign w:val="superscript"/>
        </w:rPr>
        <w:footnoteReference w:id="6"/>
      </w:r>
      <w:r w:rsidRPr="001075F6">
        <w:rPr>
          <w:kern w:val="28"/>
        </w:rPr>
        <w:t xml:space="preserve">  To knowingly and willfully make any false statement or conceal any material fact in reply to this Notice is punishable by fine or imprisonment under Title 18 of the U.S. Code.</w:t>
      </w:r>
      <w:r>
        <w:rPr>
          <w:kern w:val="28"/>
          <w:vertAlign w:val="superscript"/>
        </w:rPr>
        <w:footnoteReference w:id="7"/>
      </w:r>
    </w:p>
    <w:p w:rsidR="00F66A8F"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E77737" w:rsidRPr="003A1A53" w:rsidP="00580503">
      <w:pPr>
        <w:keepNext/>
        <w:keepLines/>
        <w:jc w:val="center"/>
        <w:rPr>
          <w:sz w:val="22"/>
          <w:szCs w:val="22"/>
        </w:rPr>
      </w:pPr>
      <w:r w:rsidRPr="003A1A53">
        <w:rPr>
          <w:sz w:val="22"/>
          <w:szCs w:val="22"/>
        </w:rPr>
        <w:t>Federal Communications Commission</w:t>
      </w:r>
    </w:p>
    <w:p w:rsidR="00E77737" w:rsidRPr="003A1A53" w:rsidP="00580503">
      <w:pPr>
        <w:keepNext/>
        <w:keepLines/>
        <w:jc w:val="center"/>
        <w:rPr>
          <w:sz w:val="22"/>
          <w:szCs w:val="22"/>
        </w:rPr>
      </w:pPr>
      <w:r w:rsidRPr="003A1A53">
        <w:rPr>
          <w:sz w:val="22"/>
          <w:szCs w:val="22"/>
        </w:rPr>
        <w:t xml:space="preserve">Los Angeles </w:t>
      </w:r>
      <w:r>
        <w:rPr>
          <w:sz w:val="22"/>
          <w:szCs w:val="22"/>
        </w:rPr>
        <w:t xml:space="preserve">Regional </w:t>
      </w:r>
      <w:r w:rsidRPr="003A1A53">
        <w:rPr>
          <w:sz w:val="22"/>
          <w:szCs w:val="22"/>
        </w:rPr>
        <w:t>Office</w:t>
      </w:r>
    </w:p>
    <w:p w:rsidR="00E77737" w:rsidRPr="003A1A53" w:rsidP="00580503">
      <w:pPr>
        <w:keepNext/>
        <w:keepLines/>
        <w:jc w:val="center"/>
        <w:rPr>
          <w:sz w:val="22"/>
          <w:szCs w:val="22"/>
        </w:rPr>
      </w:pPr>
      <w:r>
        <w:rPr>
          <w:sz w:val="22"/>
          <w:szCs w:val="22"/>
        </w:rPr>
        <w:t>11331 183</w:t>
      </w:r>
      <w:r w:rsidRPr="005E1532">
        <w:rPr>
          <w:sz w:val="22"/>
          <w:szCs w:val="22"/>
          <w:vertAlign w:val="superscript"/>
        </w:rPr>
        <w:t>rd</w:t>
      </w:r>
      <w:r>
        <w:rPr>
          <w:sz w:val="22"/>
          <w:szCs w:val="22"/>
        </w:rPr>
        <w:t xml:space="preserve"> Street</w:t>
      </w:r>
      <w:r w:rsidR="00AF7032">
        <w:rPr>
          <w:sz w:val="22"/>
          <w:szCs w:val="22"/>
        </w:rPr>
        <w:t>,</w:t>
      </w:r>
      <w:r w:rsidR="00135AD6">
        <w:rPr>
          <w:sz w:val="22"/>
          <w:szCs w:val="22"/>
        </w:rPr>
        <w:t xml:space="preserve"> </w:t>
      </w:r>
      <w:r>
        <w:rPr>
          <w:sz w:val="22"/>
          <w:szCs w:val="22"/>
        </w:rPr>
        <w:t>PMB #365</w:t>
      </w:r>
    </w:p>
    <w:p w:rsidR="00E77737" w:rsidP="00580503">
      <w:pPr>
        <w:keepNext/>
        <w:keepLines/>
        <w:jc w:val="center"/>
        <w:rPr>
          <w:sz w:val="22"/>
          <w:szCs w:val="22"/>
        </w:rPr>
      </w:pPr>
      <w:r w:rsidRPr="003A1A53">
        <w:rPr>
          <w:sz w:val="22"/>
          <w:szCs w:val="22"/>
        </w:rPr>
        <w:t>Cerritos, CA 90703</w:t>
      </w:r>
    </w:p>
    <w:p w:rsidR="00E77737" w:rsidP="00580503">
      <w:pPr>
        <w:keepNext/>
        <w:keepLines/>
        <w:jc w:val="center"/>
        <w:rPr>
          <w:sz w:val="22"/>
          <w:szCs w:val="22"/>
        </w:rPr>
      </w:pPr>
      <w:hyperlink r:id="rId5" w:history="1">
        <w:r w:rsidRPr="00353B05">
          <w:rPr>
            <w:rStyle w:val="Hyperlink"/>
            <w:sz w:val="22"/>
            <w:szCs w:val="22"/>
          </w:rPr>
          <w:t>FIELD@FCC.GOV</w:t>
        </w:r>
      </w:hyperlink>
    </w:p>
    <w:p w:rsidR="003359C4" w:rsidRPr="00361B87" w:rsidP="003359C4">
      <w:pPr>
        <w:keepNext/>
        <w:keepLines/>
        <w:ind w:left="1440" w:firstLine="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006909D2">
        <w:rPr>
          <w:szCs w:val="22"/>
        </w:rPr>
        <w:t>Rosecorp Trust</w:t>
      </w:r>
      <w:r w:rsidR="00FE2A9C">
        <w:rPr>
          <w:szCs w:val="22"/>
        </w:rPr>
        <w:t xml:space="preserve"> a</w:t>
      </w:r>
      <w:r w:rsidRPr="00361B87" w:rsidR="003359C4">
        <w:rPr>
          <w:szCs w:val="22"/>
        </w:rPr>
        <w:t xml:space="preserve">t </w:t>
      </w:r>
      <w:r w:rsidR="00170111">
        <w:rPr>
          <w:szCs w:val="22"/>
        </w:rPr>
        <w:t>P.O. Box 515, Wasco, CA</w:t>
      </w:r>
      <w:r w:rsidR="004638D8">
        <w:rPr>
          <w:szCs w:val="22"/>
        </w:rPr>
        <w:t>,</w:t>
      </w:r>
      <w:r w:rsidR="00170111">
        <w:rPr>
          <w:szCs w:val="22"/>
        </w:rPr>
        <w:t xml:space="preserve"> </w:t>
      </w:r>
      <w:r w:rsidRPr="00361B87" w:rsidR="00FB5092">
        <w:rPr>
          <w:szCs w:val="22"/>
        </w:rPr>
        <w:t>its</w:t>
      </w:r>
      <w:r w:rsidRPr="00361B87">
        <w:rPr>
          <w:szCs w:val="22"/>
        </w:rPr>
        <w:t xml:space="preserve"> address of record</w:t>
      </w:r>
      <w:r w:rsidR="00F2204A">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E77737" w:rsidRPr="003A1A53" w:rsidP="00E77737">
      <w:pPr>
        <w:ind w:firstLine="4680"/>
        <w:rPr>
          <w:sz w:val="22"/>
          <w:szCs w:val="22"/>
        </w:rPr>
      </w:pPr>
      <w:r w:rsidRPr="003A1A53">
        <w:rPr>
          <w:sz w:val="22"/>
          <w:szCs w:val="22"/>
        </w:rPr>
        <w:t>Lark Hadley</w:t>
      </w:r>
    </w:p>
    <w:p w:rsidR="00E77737" w:rsidP="00E77737">
      <w:pPr>
        <w:ind w:firstLine="4680"/>
        <w:rPr>
          <w:sz w:val="22"/>
          <w:szCs w:val="22"/>
        </w:rPr>
      </w:pPr>
      <w:r w:rsidRPr="003A1A53">
        <w:rPr>
          <w:sz w:val="22"/>
          <w:szCs w:val="22"/>
        </w:rPr>
        <w:t xml:space="preserve">Regional Director </w:t>
      </w:r>
    </w:p>
    <w:p w:rsidR="00E77737" w:rsidRPr="003A1A53" w:rsidP="00E77737">
      <w:pPr>
        <w:ind w:firstLine="4680"/>
        <w:rPr>
          <w:sz w:val="22"/>
          <w:szCs w:val="22"/>
        </w:rPr>
      </w:pPr>
      <w:r w:rsidRPr="003A1A53">
        <w:rPr>
          <w:sz w:val="22"/>
          <w:szCs w:val="22"/>
        </w:rPr>
        <w:t>Region Three</w:t>
      </w:r>
    </w:p>
    <w:p w:rsidR="00E77737" w:rsidRPr="003A1A53" w:rsidP="00E77737">
      <w:pPr>
        <w:ind w:firstLine="4680"/>
        <w:rPr>
          <w:sz w:val="22"/>
          <w:szCs w:val="22"/>
        </w:rPr>
      </w:pPr>
      <w:r w:rsidRPr="003A1A53">
        <w:rPr>
          <w:sz w:val="22"/>
          <w:szCs w:val="22"/>
        </w:rPr>
        <w:t xml:space="preserve">Enforcement Bureau </w:t>
      </w:r>
    </w:p>
    <w:p w:rsidR="00D94108" w:rsidRPr="004238C5" w:rsidP="00E77737">
      <w:pPr>
        <w:ind w:firstLine="4680"/>
        <w:rPr>
          <w:sz w:val="22"/>
          <w:szCs w:val="22"/>
        </w:rPr>
      </w:pPr>
      <w:bookmarkStart w:id="0" w:name="_GoBack"/>
      <w:bookmarkEnd w:id="0"/>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45137">
      <w:rPr>
        <w:rStyle w:val="PageNumber"/>
        <w:noProof/>
      </w:rPr>
      <w:t>3</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6107">
      <w:r>
        <w:separator/>
      </w:r>
    </w:p>
  </w:footnote>
  <w:footnote w:type="continuationSeparator" w:id="1">
    <w:p w:rsidR="00E76107">
      <w:r>
        <w:continuationSeparator/>
      </w:r>
    </w:p>
  </w:footnote>
  <w:footnote w:id="2">
    <w:p w:rsidR="00FE4FF8" w:rsidRPr="003B4006" w:rsidP="00F66A8F">
      <w:pPr>
        <w:pStyle w:val="FootnoteText"/>
        <w:rPr>
          <w:sz w:val="20"/>
        </w:rPr>
      </w:pPr>
      <w:r w:rsidRPr="003B4006">
        <w:rPr>
          <w:rStyle w:val="FootnoteReference"/>
        </w:rPr>
        <w:footnoteRef/>
      </w:r>
      <w:r w:rsidRPr="003B4006">
        <w:rPr>
          <w:sz w:val="20"/>
        </w:rPr>
        <w:t xml:space="preserve"> 47 C.F.R. § 1.89.</w:t>
      </w:r>
    </w:p>
    <w:p w:rsidR="00FE4FF8" w:rsidRPr="003B4006" w:rsidP="00F66A8F">
      <w:pPr>
        <w:pStyle w:val="FootnoteText"/>
        <w:rPr>
          <w:sz w:val="20"/>
        </w:rPr>
      </w:pPr>
    </w:p>
  </w:footnote>
  <w:footnote w:id="3">
    <w:p w:rsidR="00FE4FF8" w:rsidRPr="003B4006" w:rsidP="001C658F">
      <w:pPr>
        <w:tabs>
          <w:tab w:val="left" w:pos="-1440"/>
        </w:tabs>
        <w:rPr>
          <w:b/>
        </w:rPr>
      </w:pPr>
      <w:r w:rsidRPr="003B4006">
        <w:rPr>
          <w:rStyle w:val="FootnoteReference"/>
        </w:rPr>
        <w:footnoteRef/>
      </w:r>
      <w:r w:rsidRPr="003B4006">
        <w:t xml:space="preserve"> 47 C.F.R. § 1.89(a).</w:t>
      </w:r>
    </w:p>
    <w:p w:rsidR="00FE4FF8" w:rsidP="001C658F">
      <w:pPr>
        <w:pStyle w:val="FootnoteText"/>
        <w:spacing w:after="120"/>
      </w:pPr>
    </w:p>
  </w:footnote>
  <w:footnote w:id="4">
    <w:p w:rsidR="001075F6" w:rsidRPr="003B4006" w:rsidP="001075F6">
      <w:pPr>
        <w:pStyle w:val="FootnoteText"/>
        <w:rPr>
          <w:sz w:val="20"/>
        </w:rPr>
      </w:pPr>
      <w:r w:rsidRPr="003B4006">
        <w:rPr>
          <w:rStyle w:val="FootnoteReference"/>
        </w:rPr>
        <w:footnoteRef/>
      </w:r>
      <w:r w:rsidRPr="003B4006" w:rsidR="00CF25C4">
        <w:rPr>
          <w:sz w:val="20"/>
        </w:rPr>
        <w:t xml:space="preserve"> 47 U.S.C. 308(b)</w:t>
      </w:r>
      <w:r w:rsidRPr="003B4006">
        <w:rPr>
          <w:sz w:val="20"/>
        </w:rPr>
        <w:t>; 47 CFR § 1.89.</w:t>
      </w:r>
    </w:p>
  </w:footnote>
  <w:footnote w:id="5">
    <w:p w:rsidR="001075F6" w:rsidRPr="003B4006" w:rsidP="001075F6">
      <w:pPr>
        <w:pStyle w:val="FootnoteText"/>
        <w:rPr>
          <w:sz w:val="20"/>
        </w:rPr>
      </w:pPr>
      <w:r w:rsidRPr="003B4006">
        <w:rPr>
          <w:rStyle w:val="FootnoteReference"/>
        </w:rPr>
        <w:footnoteRef/>
      </w:r>
      <w:r w:rsidRPr="003B4006">
        <w:rPr>
          <w:sz w:val="20"/>
        </w:rPr>
        <w:t xml:space="preserve"> 47 CFR § 1.89(c).</w:t>
      </w:r>
    </w:p>
  </w:footnote>
  <w:footnote w:id="6">
    <w:p w:rsidR="001075F6" w:rsidRPr="003B4006" w:rsidP="001075F6">
      <w:pPr>
        <w:pStyle w:val="FootnoteText"/>
        <w:rPr>
          <w:sz w:val="20"/>
        </w:rPr>
      </w:pPr>
      <w:r w:rsidRPr="003B4006">
        <w:rPr>
          <w:rStyle w:val="FootnoteReference"/>
        </w:rPr>
        <w:footnoteRef/>
      </w:r>
      <w:r w:rsidRPr="003B4006">
        <w:rPr>
          <w:sz w:val="20"/>
        </w:rPr>
        <w:t xml:space="preserve"> 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1075F6" w:rsidRPr="003B4006" w:rsidP="001075F6">
      <w:pPr>
        <w:pStyle w:val="FootnoteText"/>
        <w:rPr>
          <w:sz w:val="20"/>
        </w:rPr>
      </w:pPr>
      <w:r w:rsidRPr="003B4006">
        <w:rPr>
          <w:rStyle w:val="FootnoteReference"/>
        </w:rPr>
        <w:footnoteRef/>
      </w:r>
      <w:r w:rsidRPr="003B4006">
        <w:rPr>
          <w:sz w:val="20"/>
        </w:rPr>
        <w:t xml:space="preserve"> 18 U.S.C. §§ 1001, </w:t>
      </w:r>
      <w:r w:rsidRPr="003B4006">
        <w:rPr>
          <w:i/>
          <w:sz w:val="20"/>
        </w:rPr>
        <w:t>et seq</w:t>
      </w:r>
      <w:r w:rsidRPr="003B4006">
        <w:rPr>
          <w:sz w:val="20"/>
        </w:rPr>
        <w:t xml:space="preserve">.; </w:t>
      </w:r>
      <w:r w:rsidRPr="003B4006">
        <w:rPr>
          <w:i/>
          <w:sz w:val="20"/>
        </w:rPr>
        <w:t xml:space="preserve">see also </w:t>
      </w:r>
      <w:r w:rsidRPr="003B4006">
        <w:rPr>
          <w:sz w:val="20"/>
        </w:rPr>
        <w:t>47 CFR § 1.17.</w:t>
      </w:r>
    </w:p>
  </w:footnote>
  <w:footnote w:id="8">
    <w:p w:rsidR="00FE4FF8" w:rsidRPr="003B4006">
      <w:pPr>
        <w:pStyle w:val="FootnoteText"/>
        <w:rPr>
          <w:sz w:val="20"/>
          <w:lang w:val="it-IT"/>
        </w:rPr>
      </w:pPr>
      <w:r w:rsidRPr="003B4006">
        <w:rPr>
          <w:rStyle w:val="FootnoteReference"/>
        </w:rPr>
        <w:footnoteRef/>
      </w:r>
      <w:r w:rsidRPr="003B4006">
        <w:rPr>
          <w:sz w:val="20"/>
          <w:lang w:val="it-IT"/>
        </w:rPr>
        <w:t xml:space="preserve">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9"/>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63F1"/>
    <w:rsid w:val="000168A8"/>
    <w:rsid w:val="00021207"/>
    <w:rsid w:val="0002201F"/>
    <w:rsid w:val="0002389A"/>
    <w:rsid w:val="00025DF6"/>
    <w:rsid w:val="00031219"/>
    <w:rsid w:val="0004299C"/>
    <w:rsid w:val="0005602E"/>
    <w:rsid w:val="0006516A"/>
    <w:rsid w:val="000A3AC7"/>
    <w:rsid w:val="000A6664"/>
    <w:rsid w:val="000B20C6"/>
    <w:rsid w:val="000B66D0"/>
    <w:rsid w:val="000C4D5F"/>
    <w:rsid w:val="000C4EFB"/>
    <w:rsid w:val="000D4F25"/>
    <w:rsid w:val="000D7022"/>
    <w:rsid w:val="000E2512"/>
    <w:rsid w:val="000E3D5C"/>
    <w:rsid w:val="000F3CCC"/>
    <w:rsid w:val="0010025D"/>
    <w:rsid w:val="00100D9E"/>
    <w:rsid w:val="00105904"/>
    <w:rsid w:val="001075F6"/>
    <w:rsid w:val="0011043A"/>
    <w:rsid w:val="001124E9"/>
    <w:rsid w:val="00135AD6"/>
    <w:rsid w:val="00136593"/>
    <w:rsid w:val="00156006"/>
    <w:rsid w:val="0015777C"/>
    <w:rsid w:val="00170111"/>
    <w:rsid w:val="00170EA4"/>
    <w:rsid w:val="00187F56"/>
    <w:rsid w:val="00191810"/>
    <w:rsid w:val="001A100A"/>
    <w:rsid w:val="001B430F"/>
    <w:rsid w:val="001C5876"/>
    <w:rsid w:val="001C658F"/>
    <w:rsid w:val="001E11C6"/>
    <w:rsid w:val="001F6163"/>
    <w:rsid w:val="002064E1"/>
    <w:rsid w:val="0021515E"/>
    <w:rsid w:val="00215C7C"/>
    <w:rsid w:val="0021729C"/>
    <w:rsid w:val="00233233"/>
    <w:rsid w:val="002404ED"/>
    <w:rsid w:val="00246C20"/>
    <w:rsid w:val="0025028C"/>
    <w:rsid w:val="00254B0E"/>
    <w:rsid w:val="00255B5A"/>
    <w:rsid w:val="00276037"/>
    <w:rsid w:val="00277C6A"/>
    <w:rsid w:val="00282507"/>
    <w:rsid w:val="002A3BA3"/>
    <w:rsid w:val="002A648B"/>
    <w:rsid w:val="002A75F0"/>
    <w:rsid w:val="002A7CA9"/>
    <w:rsid w:val="002B6038"/>
    <w:rsid w:val="002D49D4"/>
    <w:rsid w:val="002D6762"/>
    <w:rsid w:val="002E5791"/>
    <w:rsid w:val="002E6091"/>
    <w:rsid w:val="002F56DD"/>
    <w:rsid w:val="002F6EAE"/>
    <w:rsid w:val="00302C75"/>
    <w:rsid w:val="00312848"/>
    <w:rsid w:val="003246EB"/>
    <w:rsid w:val="003359C4"/>
    <w:rsid w:val="0033629D"/>
    <w:rsid w:val="003414EE"/>
    <w:rsid w:val="003461C5"/>
    <w:rsid w:val="00353B05"/>
    <w:rsid w:val="00354D4C"/>
    <w:rsid w:val="00361B87"/>
    <w:rsid w:val="0036298F"/>
    <w:rsid w:val="00362A46"/>
    <w:rsid w:val="003A1A53"/>
    <w:rsid w:val="003B1B82"/>
    <w:rsid w:val="003B1CAB"/>
    <w:rsid w:val="003B25A0"/>
    <w:rsid w:val="003B4006"/>
    <w:rsid w:val="003C059F"/>
    <w:rsid w:val="003D32F9"/>
    <w:rsid w:val="003D6B43"/>
    <w:rsid w:val="003E69F3"/>
    <w:rsid w:val="003F6377"/>
    <w:rsid w:val="00401CFD"/>
    <w:rsid w:val="004217A3"/>
    <w:rsid w:val="004238C5"/>
    <w:rsid w:val="00427412"/>
    <w:rsid w:val="00427550"/>
    <w:rsid w:val="0043347A"/>
    <w:rsid w:val="0043494B"/>
    <w:rsid w:val="00436CCE"/>
    <w:rsid w:val="00437BF5"/>
    <w:rsid w:val="00440717"/>
    <w:rsid w:val="00443DE6"/>
    <w:rsid w:val="00444AF5"/>
    <w:rsid w:val="004638D8"/>
    <w:rsid w:val="00472B71"/>
    <w:rsid w:val="004743C4"/>
    <w:rsid w:val="004802BD"/>
    <w:rsid w:val="0048315C"/>
    <w:rsid w:val="00483923"/>
    <w:rsid w:val="00485A10"/>
    <w:rsid w:val="004902B9"/>
    <w:rsid w:val="004A4F76"/>
    <w:rsid w:val="004A688C"/>
    <w:rsid w:val="004B12E1"/>
    <w:rsid w:val="004C77CE"/>
    <w:rsid w:val="004D016B"/>
    <w:rsid w:val="004D1DCC"/>
    <w:rsid w:val="004D41A8"/>
    <w:rsid w:val="004D7836"/>
    <w:rsid w:val="004D78DA"/>
    <w:rsid w:val="004E1334"/>
    <w:rsid w:val="004F2658"/>
    <w:rsid w:val="004F41DD"/>
    <w:rsid w:val="00511455"/>
    <w:rsid w:val="0052150B"/>
    <w:rsid w:val="005254E7"/>
    <w:rsid w:val="005314AB"/>
    <w:rsid w:val="00532357"/>
    <w:rsid w:val="00545132"/>
    <w:rsid w:val="00550A8B"/>
    <w:rsid w:val="00557612"/>
    <w:rsid w:val="0055765D"/>
    <w:rsid w:val="0056280D"/>
    <w:rsid w:val="00562ABB"/>
    <w:rsid w:val="00564957"/>
    <w:rsid w:val="0056798D"/>
    <w:rsid w:val="005719F0"/>
    <w:rsid w:val="00580503"/>
    <w:rsid w:val="0058372D"/>
    <w:rsid w:val="00590973"/>
    <w:rsid w:val="005B3CC2"/>
    <w:rsid w:val="005B5200"/>
    <w:rsid w:val="005B5A53"/>
    <w:rsid w:val="005C65CB"/>
    <w:rsid w:val="005C69CD"/>
    <w:rsid w:val="005D160D"/>
    <w:rsid w:val="005D2CC7"/>
    <w:rsid w:val="005D669D"/>
    <w:rsid w:val="005E1532"/>
    <w:rsid w:val="005E238F"/>
    <w:rsid w:val="005F219A"/>
    <w:rsid w:val="00600F43"/>
    <w:rsid w:val="00605A91"/>
    <w:rsid w:val="00614134"/>
    <w:rsid w:val="00614329"/>
    <w:rsid w:val="006210FE"/>
    <w:rsid w:val="00624D87"/>
    <w:rsid w:val="006377FF"/>
    <w:rsid w:val="00655FA5"/>
    <w:rsid w:val="00657BD5"/>
    <w:rsid w:val="00673890"/>
    <w:rsid w:val="00680D6B"/>
    <w:rsid w:val="006832AF"/>
    <w:rsid w:val="006909D2"/>
    <w:rsid w:val="00695225"/>
    <w:rsid w:val="006A5902"/>
    <w:rsid w:val="006B1542"/>
    <w:rsid w:val="006C479B"/>
    <w:rsid w:val="006E2464"/>
    <w:rsid w:val="006E44D9"/>
    <w:rsid w:val="006F241C"/>
    <w:rsid w:val="006F6327"/>
    <w:rsid w:val="007026EF"/>
    <w:rsid w:val="00705979"/>
    <w:rsid w:val="00712187"/>
    <w:rsid w:val="00712C92"/>
    <w:rsid w:val="0072561F"/>
    <w:rsid w:val="00736695"/>
    <w:rsid w:val="00737BDA"/>
    <w:rsid w:val="007459E5"/>
    <w:rsid w:val="00747603"/>
    <w:rsid w:val="0075043F"/>
    <w:rsid w:val="007513CE"/>
    <w:rsid w:val="00752938"/>
    <w:rsid w:val="007544A1"/>
    <w:rsid w:val="007644E1"/>
    <w:rsid w:val="00765D40"/>
    <w:rsid w:val="00777718"/>
    <w:rsid w:val="00780C9A"/>
    <w:rsid w:val="00793151"/>
    <w:rsid w:val="00796C0C"/>
    <w:rsid w:val="007A719F"/>
    <w:rsid w:val="007B108B"/>
    <w:rsid w:val="007B1664"/>
    <w:rsid w:val="007C2BB4"/>
    <w:rsid w:val="007C2D27"/>
    <w:rsid w:val="007D14B2"/>
    <w:rsid w:val="007D7B7D"/>
    <w:rsid w:val="007E319A"/>
    <w:rsid w:val="007E53E7"/>
    <w:rsid w:val="007E632E"/>
    <w:rsid w:val="007F30A2"/>
    <w:rsid w:val="007F3DFA"/>
    <w:rsid w:val="007F4560"/>
    <w:rsid w:val="00811C09"/>
    <w:rsid w:val="00816DDC"/>
    <w:rsid w:val="00822BD6"/>
    <w:rsid w:val="0084616B"/>
    <w:rsid w:val="008620A4"/>
    <w:rsid w:val="008653B9"/>
    <w:rsid w:val="00865920"/>
    <w:rsid w:val="008668F0"/>
    <w:rsid w:val="00884FC0"/>
    <w:rsid w:val="00892623"/>
    <w:rsid w:val="00892C6D"/>
    <w:rsid w:val="008A1268"/>
    <w:rsid w:val="008A6B32"/>
    <w:rsid w:val="008B1E0F"/>
    <w:rsid w:val="008C7B62"/>
    <w:rsid w:val="008D00A6"/>
    <w:rsid w:val="008D12D7"/>
    <w:rsid w:val="008D356C"/>
    <w:rsid w:val="008D55CB"/>
    <w:rsid w:val="008D55E3"/>
    <w:rsid w:val="008E5B49"/>
    <w:rsid w:val="008E6BAC"/>
    <w:rsid w:val="008E782C"/>
    <w:rsid w:val="008F05EC"/>
    <w:rsid w:val="00901686"/>
    <w:rsid w:val="009039B9"/>
    <w:rsid w:val="00903AF7"/>
    <w:rsid w:val="00907FBD"/>
    <w:rsid w:val="00913F93"/>
    <w:rsid w:val="009211C8"/>
    <w:rsid w:val="00926792"/>
    <w:rsid w:val="00956A92"/>
    <w:rsid w:val="009747C5"/>
    <w:rsid w:val="00981097"/>
    <w:rsid w:val="009811C2"/>
    <w:rsid w:val="00981CCB"/>
    <w:rsid w:val="009876B2"/>
    <w:rsid w:val="00987D69"/>
    <w:rsid w:val="00993971"/>
    <w:rsid w:val="009B5929"/>
    <w:rsid w:val="009B763C"/>
    <w:rsid w:val="009D0A3D"/>
    <w:rsid w:val="009D10E6"/>
    <w:rsid w:val="009E2806"/>
    <w:rsid w:val="00A00C93"/>
    <w:rsid w:val="00A1626A"/>
    <w:rsid w:val="00A209EE"/>
    <w:rsid w:val="00A21236"/>
    <w:rsid w:val="00A31E0F"/>
    <w:rsid w:val="00A34F88"/>
    <w:rsid w:val="00A4119D"/>
    <w:rsid w:val="00A4649C"/>
    <w:rsid w:val="00A753D6"/>
    <w:rsid w:val="00A75BD2"/>
    <w:rsid w:val="00A76990"/>
    <w:rsid w:val="00A80BB4"/>
    <w:rsid w:val="00A86FB8"/>
    <w:rsid w:val="00A902A9"/>
    <w:rsid w:val="00A926DC"/>
    <w:rsid w:val="00A96BD9"/>
    <w:rsid w:val="00AA0EB8"/>
    <w:rsid w:val="00AA3E6B"/>
    <w:rsid w:val="00AB7A2B"/>
    <w:rsid w:val="00AB7F9B"/>
    <w:rsid w:val="00AC3FDF"/>
    <w:rsid w:val="00AD6F91"/>
    <w:rsid w:val="00AE04A5"/>
    <w:rsid w:val="00AF0BCA"/>
    <w:rsid w:val="00AF7032"/>
    <w:rsid w:val="00B07553"/>
    <w:rsid w:val="00B42F55"/>
    <w:rsid w:val="00B46775"/>
    <w:rsid w:val="00B47C16"/>
    <w:rsid w:val="00B5173C"/>
    <w:rsid w:val="00B51A09"/>
    <w:rsid w:val="00B525CC"/>
    <w:rsid w:val="00B57725"/>
    <w:rsid w:val="00B61C91"/>
    <w:rsid w:val="00B80784"/>
    <w:rsid w:val="00B81660"/>
    <w:rsid w:val="00B92C1C"/>
    <w:rsid w:val="00B97D5B"/>
    <w:rsid w:val="00BA33D1"/>
    <w:rsid w:val="00BB261F"/>
    <w:rsid w:val="00BB6BB2"/>
    <w:rsid w:val="00BC3C6B"/>
    <w:rsid w:val="00BD2D02"/>
    <w:rsid w:val="00BE38E4"/>
    <w:rsid w:val="00BE54CB"/>
    <w:rsid w:val="00C06A27"/>
    <w:rsid w:val="00C10D69"/>
    <w:rsid w:val="00C11BD2"/>
    <w:rsid w:val="00C11E29"/>
    <w:rsid w:val="00C12955"/>
    <w:rsid w:val="00C14FE6"/>
    <w:rsid w:val="00C200F5"/>
    <w:rsid w:val="00C22019"/>
    <w:rsid w:val="00C25593"/>
    <w:rsid w:val="00C3180D"/>
    <w:rsid w:val="00C34A25"/>
    <w:rsid w:val="00C44625"/>
    <w:rsid w:val="00C63723"/>
    <w:rsid w:val="00C64968"/>
    <w:rsid w:val="00C70F9B"/>
    <w:rsid w:val="00C90E0F"/>
    <w:rsid w:val="00C949CA"/>
    <w:rsid w:val="00CA0084"/>
    <w:rsid w:val="00CA5984"/>
    <w:rsid w:val="00CA5EF0"/>
    <w:rsid w:val="00CD1FDB"/>
    <w:rsid w:val="00CF25C4"/>
    <w:rsid w:val="00CF7C1F"/>
    <w:rsid w:val="00D11D81"/>
    <w:rsid w:val="00D36A69"/>
    <w:rsid w:val="00D42AAA"/>
    <w:rsid w:val="00D45137"/>
    <w:rsid w:val="00D462BE"/>
    <w:rsid w:val="00D5265B"/>
    <w:rsid w:val="00D565CF"/>
    <w:rsid w:val="00D72924"/>
    <w:rsid w:val="00D90F3B"/>
    <w:rsid w:val="00D91FF7"/>
    <w:rsid w:val="00D93718"/>
    <w:rsid w:val="00D94108"/>
    <w:rsid w:val="00DB738A"/>
    <w:rsid w:val="00DB7551"/>
    <w:rsid w:val="00DD12B5"/>
    <w:rsid w:val="00DD12C2"/>
    <w:rsid w:val="00DD549F"/>
    <w:rsid w:val="00DD6C88"/>
    <w:rsid w:val="00DE5027"/>
    <w:rsid w:val="00E04895"/>
    <w:rsid w:val="00E04EA6"/>
    <w:rsid w:val="00E06240"/>
    <w:rsid w:val="00E07756"/>
    <w:rsid w:val="00E107DC"/>
    <w:rsid w:val="00E11361"/>
    <w:rsid w:val="00E1162E"/>
    <w:rsid w:val="00E14624"/>
    <w:rsid w:val="00E20A8E"/>
    <w:rsid w:val="00E237AA"/>
    <w:rsid w:val="00E32587"/>
    <w:rsid w:val="00E3302A"/>
    <w:rsid w:val="00E33DE1"/>
    <w:rsid w:val="00E37BDB"/>
    <w:rsid w:val="00E41FB0"/>
    <w:rsid w:val="00E45CCD"/>
    <w:rsid w:val="00E467EE"/>
    <w:rsid w:val="00E76107"/>
    <w:rsid w:val="00E76D2D"/>
    <w:rsid w:val="00E77737"/>
    <w:rsid w:val="00E85E4A"/>
    <w:rsid w:val="00E926C0"/>
    <w:rsid w:val="00E943ED"/>
    <w:rsid w:val="00E970F0"/>
    <w:rsid w:val="00EA2366"/>
    <w:rsid w:val="00EC29E8"/>
    <w:rsid w:val="00EC3496"/>
    <w:rsid w:val="00EC4AF2"/>
    <w:rsid w:val="00EC4CD3"/>
    <w:rsid w:val="00EC5937"/>
    <w:rsid w:val="00EF2BB0"/>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5D98"/>
    <w:rsid w:val="00F56907"/>
    <w:rsid w:val="00F65089"/>
    <w:rsid w:val="00F65597"/>
    <w:rsid w:val="00F66A8F"/>
    <w:rsid w:val="00F72912"/>
    <w:rsid w:val="00F867D6"/>
    <w:rsid w:val="00FA0007"/>
    <w:rsid w:val="00FA1029"/>
    <w:rsid w:val="00FA5BF8"/>
    <w:rsid w:val="00FB1300"/>
    <w:rsid w:val="00FB44F6"/>
    <w:rsid w:val="00FB5092"/>
    <w:rsid w:val="00FB571C"/>
    <w:rsid w:val="00FC21A7"/>
    <w:rsid w:val="00FC233E"/>
    <w:rsid w:val="00FC6252"/>
    <w:rsid w:val="00FD0985"/>
    <w:rsid w:val="00FD121D"/>
    <w:rsid w:val="00FD4A1E"/>
    <w:rsid w:val="00FD523C"/>
    <w:rsid w:val="00FE2A9C"/>
    <w:rsid w:val="00FE4FF8"/>
    <w:rsid w:val="00FF2C22"/>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075F6"/>
    <w:pPr>
      <w:widowControl w:val="0"/>
      <w:numPr>
        <w:numId w:val="17"/>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3EAA79A4.dotm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