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81DFC" w:rsidRPr="004E291F" w:rsidP="00881DFC" w14:paraId="559D3ACD" w14:textId="77777777">
      <w:pPr>
        <w:suppressAutoHyphens/>
        <w:jc w:val="center"/>
        <w:outlineLvl w:val="0"/>
        <w:rPr>
          <w:b/>
          <w:sz w:val="28"/>
        </w:rPr>
      </w:pPr>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68312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881DFC" w:rsidRPr="004E291F" w:rsidP="00881DFC" w14:paraId="0BE5BC4B" w14:textId="77777777">
      <w:pPr>
        <w:pStyle w:val="Header"/>
        <w:tabs>
          <w:tab w:val="clear" w:pos="4320"/>
          <w:tab w:val="clear" w:pos="8640"/>
        </w:tabs>
        <w:jc w:val="center"/>
        <w:rPr>
          <w:b/>
        </w:rPr>
      </w:pPr>
      <w:r w:rsidRPr="004E291F">
        <w:rPr>
          <w:b/>
        </w:rPr>
        <w:t>ENFORCEMENT BUREAU</w:t>
      </w:r>
    </w:p>
    <w:p w:rsidR="00881DFC" w:rsidRPr="00F1583C" w:rsidP="00881DFC" w14:paraId="0775395B" w14:textId="77777777">
      <w:pPr>
        <w:pStyle w:val="Header"/>
        <w:tabs>
          <w:tab w:val="clear" w:pos="4320"/>
          <w:tab w:val="clear" w:pos="8640"/>
        </w:tabs>
        <w:jc w:val="center"/>
        <w:rPr>
          <w:b/>
        </w:rPr>
      </w:pPr>
      <w:r w:rsidRPr="00F1583C">
        <w:rPr>
          <w:b/>
        </w:rPr>
        <w:t>REGION</w:t>
      </w:r>
      <w:r>
        <w:rPr>
          <w:b/>
        </w:rPr>
        <w:t xml:space="preserve"> ONE</w:t>
      </w:r>
    </w:p>
    <w:p w:rsidR="00881DFC" w:rsidRPr="004E291F" w:rsidP="00881DFC" w14:paraId="3725FCB3" w14:textId="77777777">
      <w:pPr>
        <w:pStyle w:val="Header"/>
        <w:tabs>
          <w:tab w:val="clear" w:pos="4320"/>
          <w:tab w:val="clear" w:pos="8640"/>
        </w:tabs>
        <w:ind w:firstLine="720"/>
      </w:pPr>
    </w:p>
    <w:p w:rsidR="00881DFC" w:rsidRPr="00A773D1" w:rsidP="00881DFC" w14:paraId="475C320C" w14:textId="77777777">
      <w:pPr>
        <w:suppressAutoHyphens/>
        <w:jc w:val="center"/>
        <w:rPr>
          <w:sz w:val="22"/>
          <w:szCs w:val="22"/>
        </w:rPr>
      </w:pPr>
      <w:r w:rsidRPr="00A773D1">
        <w:rPr>
          <w:sz w:val="22"/>
          <w:szCs w:val="22"/>
        </w:rPr>
        <w:t>Columbia Regional Office</w:t>
      </w:r>
    </w:p>
    <w:p w:rsidR="00881DFC" w:rsidRPr="00A773D1" w:rsidP="00881DFC" w14:paraId="36F8DA17" w14:textId="77777777">
      <w:pPr>
        <w:suppressAutoHyphens/>
        <w:jc w:val="center"/>
        <w:rPr>
          <w:sz w:val="22"/>
          <w:szCs w:val="22"/>
        </w:rPr>
      </w:pPr>
      <w:r w:rsidRPr="00A773D1">
        <w:rPr>
          <w:sz w:val="22"/>
          <w:szCs w:val="22"/>
        </w:rPr>
        <w:t>P.O. Box 130</w:t>
      </w:r>
    </w:p>
    <w:p w:rsidR="00881DFC" w:rsidRPr="00A773D1" w:rsidP="00881DFC" w14:paraId="03D37522" w14:textId="77777777">
      <w:pPr>
        <w:suppressAutoHyphens/>
        <w:jc w:val="center"/>
        <w:rPr>
          <w:sz w:val="22"/>
          <w:szCs w:val="22"/>
        </w:rPr>
      </w:pPr>
      <w:r w:rsidRPr="00A773D1">
        <w:rPr>
          <w:sz w:val="22"/>
          <w:szCs w:val="22"/>
        </w:rPr>
        <w:t>Columbia, Maryland 21045</w:t>
      </w:r>
    </w:p>
    <w:p w:rsidR="00881DFC" w:rsidRPr="00A773D1" w:rsidP="00881DFC" w14:paraId="6241457C" w14:textId="77777777">
      <w:pPr>
        <w:suppressAutoHyphens/>
        <w:jc w:val="center"/>
        <w:rPr>
          <w:sz w:val="22"/>
          <w:szCs w:val="22"/>
        </w:rPr>
      </w:pPr>
      <w:r w:rsidRPr="00A773D1">
        <w:rPr>
          <w:sz w:val="22"/>
          <w:szCs w:val="22"/>
        </w:rPr>
        <w:t>Field@FCC.gov</w:t>
      </w:r>
    </w:p>
    <w:p w:rsidR="00881DFC" w:rsidRPr="00A773D1" w:rsidP="00881DFC" w14:paraId="7D137F5C" w14:textId="77777777">
      <w:pPr>
        <w:suppressAutoHyphens/>
        <w:jc w:val="center"/>
        <w:rPr>
          <w:sz w:val="22"/>
          <w:szCs w:val="22"/>
        </w:rPr>
      </w:pPr>
      <w:r w:rsidRPr="00A773D1">
        <w:rPr>
          <w:sz w:val="22"/>
          <w:szCs w:val="22"/>
        </w:rPr>
        <w:t xml:space="preserve">(301) 725-1996              </w:t>
      </w:r>
    </w:p>
    <w:p w:rsidR="00881DFC" w:rsidRPr="00A773D1" w:rsidP="00881DFC" w14:paraId="7009DA0A" w14:textId="77777777">
      <w:pPr>
        <w:suppressAutoHyphens/>
        <w:rPr>
          <w:sz w:val="22"/>
          <w:szCs w:val="22"/>
        </w:rPr>
      </w:pPr>
    </w:p>
    <w:p w:rsidR="00881DFC" w:rsidRPr="00A773D1" w:rsidP="00881DFC" w14:paraId="44FEA7F2" w14:textId="5F62E678">
      <w:pPr>
        <w:suppressAutoHyphens/>
        <w:jc w:val="center"/>
        <w:rPr>
          <w:sz w:val="22"/>
          <w:szCs w:val="22"/>
        </w:rPr>
      </w:pPr>
      <w:r w:rsidRPr="00A773D1">
        <w:rPr>
          <w:sz w:val="22"/>
          <w:szCs w:val="22"/>
        </w:rPr>
        <w:t xml:space="preserve">January </w:t>
      </w:r>
      <w:r w:rsidR="002C1A8A">
        <w:rPr>
          <w:sz w:val="22"/>
          <w:szCs w:val="22"/>
        </w:rPr>
        <w:t>31</w:t>
      </w:r>
      <w:bookmarkStart w:id="0" w:name="_GoBack"/>
      <w:bookmarkEnd w:id="0"/>
      <w:r w:rsidRPr="00A773D1">
        <w:rPr>
          <w:sz w:val="22"/>
          <w:szCs w:val="22"/>
        </w:rPr>
        <w:t>, 201</w:t>
      </w:r>
      <w:r w:rsidRPr="00A773D1" w:rsidR="008F6E33">
        <w:rPr>
          <w:sz w:val="22"/>
          <w:szCs w:val="22"/>
        </w:rPr>
        <w:t>9</w:t>
      </w:r>
    </w:p>
    <w:p w:rsidR="00881DFC" w:rsidRPr="00A773D1" w:rsidP="00881DFC" w14:paraId="787DC18F" w14:textId="77777777">
      <w:pPr>
        <w:suppressAutoHyphens/>
        <w:jc w:val="center"/>
        <w:rPr>
          <w:sz w:val="22"/>
          <w:szCs w:val="22"/>
        </w:rPr>
      </w:pPr>
      <w:r w:rsidRPr="00A773D1">
        <w:rPr>
          <w:sz w:val="22"/>
          <w:szCs w:val="22"/>
        </w:rPr>
        <w:tab/>
      </w:r>
      <w:r w:rsidRPr="00A773D1">
        <w:rPr>
          <w:sz w:val="22"/>
          <w:szCs w:val="22"/>
        </w:rPr>
        <w:tab/>
      </w:r>
      <w:r w:rsidRPr="00A773D1">
        <w:rPr>
          <w:sz w:val="22"/>
          <w:szCs w:val="22"/>
        </w:rPr>
        <w:tab/>
      </w:r>
      <w:r w:rsidRPr="00A773D1">
        <w:rPr>
          <w:sz w:val="22"/>
          <w:szCs w:val="22"/>
        </w:rPr>
        <w:tab/>
      </w:r>
      <w:r w:rsidRPr="00A773D1">
        <w:rPr>
          <w:sz w:val="22"/>
          <w:szCs w:val="22"/>
        </w:rPr>
        <w:tab/>
      </w:r>
      <w:r w:rsidRPr="00A773D1">
        <w:rPr>
          <w:sz w:val="22"/>
          <w:szCs w:val="22"/>
        </w:rPr>
        <w:tab/>
      </w:r>
    </w:p>
    <w:p w:rsidR="00881DFC" w:rsidRPr="00A773D1" w:rsidP="00881DFC" w14:paraId="0B777234" w14:textId="77777777">
      <w:pPr>
        <w:suppressAutoHyphens/>
        <w:rPr>
          <w:sz w:val="22"/>
          <w:szCs w:val="22"/>
        </w:rPr>
      </w:pPr>
    </w:p>
    <w:p w:rsidR="00881DFC" w:rsidRPr="00A773D1" w:rsidP="00881DFC" w14:paraId="0064F40F" w14:textId="77777777">
      <w:pPr>
        <w:suppressAutoHyphens/>
        <w:rPr>
          <w:sz w:val="22"/>
          <w:szCs w:val="22"/>
        </w:rPr>
      </w:pPr>
      <w:r w:rsidRPr="00A773D1">
        <w:rPr>
          <w:sz w:val="22"/>
          <w:szCs w:val="22"/>
        </w:rPr>
        <w:t>Barnstable High School</w:t>
      </w:r>
    </w:p>
    <w:p w:rsidR="00881DFC" w:rsidRPr="00A773D1" w:rsidP="00881DFC" w14:paraId="3BF39BA5" w14:textId="77777777">
      <w:pPr>
        <w:widowControl/>
        <w:rPr>
          <w:sz w:val="22"/>
          <w:szCs w:val="22"/>
        </w:rPr>
      </w:pPr>
      <w:r w:rsidRPr="00A773D1">
        <w:rPr>
          <w:sz w:val="22"/>
          <w:szCs w:val="22"/>
        </w:rPr>
        <w:t>Barnstable</w:t>
      </w:r>
      <w:r w:rsidRPr="00A773D1">
        <w:rPr>
          <w:sz w:val="22"/>
          <w:szCs w:val="22"/>
        </w:rPr>
        <w:t>, Massachusetts</w:t>
      </w:r>
    </w:p>
    <w:p w:rsidR="00881DFC" w:rsidRPr="00A773D1" w:rsidP="00881DFC" w14:paraId="0BA6EBA0" w14:textId="77777777">
      <w:pPr>
        <w:widowControl/>
        <w:rPr>
          <w:sz w:val="22"/>
          <w:szCs w:val="22"/>
        </w:rPr>
      </w:pPr>
    </w:p>
    <w:p w:rsidR="00881DFC" w:rsidRPr="00A773D1" w:rsidP="00881DFC" w14:paraId="1DAA2375" w14:textId="77777777">
      <w:pPr>
        <w:widowControl/>
        <w:rPr>
          <w:b/>
          <w:sz w:val="22"/>
          <w:szCs w:val="22"/>
        </w:rPr>
      </w:pP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r w:rsidRPr="00A773D1">
        <w:rPr>
          <w:b/>
          <w:sz w:val="22"/>
          <w:szCs w:val="22"/>
        </w:rPr>
        <w:tab/>
      </w:r>
    </w:p>
    <w:p w:rsidR="00881DFC" w:rsidRPr="00A773D1" w:rsidP="00881DFC" w14:paraId="231EFA2D" w14:textId="77777777">
      <w:pPr>
        <w:widowControl/>
        <w:jc w:val="center"/>
        <w:rPr>
          <w:sz w:val="22"/>
          <w:szCs w:val="22"/>
        </w:rPr>
      </w:pPr>
      <w:r w:rsidRPr="00A773D1">
        <w:rPr>
          <w:b/>
          <w:sz w:val="22"/>
          <w:szCs w:val="22"/>
        </w:rPr>
        <w:t>NOTICE OF UNLICENSED OPERATION</w:t>
      </w:r>
    </w:p>
    <w:p w:rsidR="00881DFC" w:rsidRPr="00A773D1" w:rsidP="00881DFC" w14:paraId="76704C70" w14:textId="77777777">
      <w:pPr>
        <w:widowControl/>
        <w:rPr>
          <w:sz w:val="22"/>
          <w:szCs w:val="22"/>
        </w:rPr>
      </w:pPr>
    </w:p>
    <w:p w:rsidR="00881DFC" w:rsidRPr="00A773D1" w:rsidP="00881DFC" w14:paraId="4D315874" w14:textId="77777777">
      <w:pPr>
        <w:widowControl/>
        <w:tabs>
          <w:tab w:val="left" w:pos="4500"/>
          <w:tab w:val="left" w:pos="6930"/>
        </w:tabs>
        <w:outlineLvl w:val="0"/>
        <w:rPr>
          <w:b/>
          <w:color w:val="FF0000"/>
          <w:sz w:val="22"/>
          <w:szCs w:val="22"/>
          <w:highlight w:val="yellow"/>
        </w:rPr>
      </w:pPr>
      <w:r w:rsidRPr="00A773D1">
        <w:rPr>
          <w:sz w:val="22"/>
          <w:szCs w:val="22"/>
        </w:rPr>
        <w:tab/>
        <w:t>Case Number:  EB-FIELDNER-1</w:t>
      </w:r>
      <w:r w:rsidRPr="00A773D1" w:rsidR="00B01963">
        <w:rPr>
          <w:sz w:val="22"/>
          <w:szCs w:val="22"/>
        </w:rPr>
        <w:t>8</w:t>
      </w:r>
      <w:r w:rsidRPr="00A773D1">
        <w:rPr>
          <w:sz w:val="22"/>
          <w:szCs w:val="22"/>
        </w:rPr>
        <w:t>-0002</w:t>
      </w:r>
      <w:r w:rsidRPr="00A773D1" w:rsidR="00B01963">
        <w:rPr>
          <w:sz w:val="22"/>
          <w:szCs w:val="22"/>
        </w:rPr>
        <w:t>6</w:t>
      </w:r>
      <w:r w:rsidRPr="00A773D1">
        <w:rPr>
          <w:sz w:val="22"/>
          <w:szCs w:val="22"/>
        </w:rPr>
        <w:t>48</w:t>
      </w:r>
      <w:r w:rsidRPr="00A773D1" w:rsidR="00B01963">
        <w:rPr>
          <w:sz w:val="22"/>
          <w:szCs w:val="22"/>
        </w:rPr>
        <w:t>5</w:t>
      </w:r>
    </w:p>
    <w:p w:rsidR="00881DFC" w:rsidRPr="00A773D1" w:rsidP="00881DFC" w14:paraId="791B260A" w14:textId="77777777">
      <w:pPr>
        <w:widowControl/>
        <w:tabs>
          <w:tab w:val="left" w:pos="4500"/>
          <w:tab w:val="left" w:pos="6930"/>
        </w:tabs>
        <w:outlineLvl w:val="0"/>
        <w:rPr>
          <w:b/>
          <w:color w:val="FF0000"/>
          <w:sz w:val="22"/>
          <w:szCs w:val="22"/>
          <w:highlight w:val="yellow"/>
        </w:rPr>
      </w:pPr>
      <w:r w:rsidRPr="00A773D1">
        <w:rPr>
          <w:sz w:val="22"/>
          <w:szCs w:val="22"/>
        </w:rPr>
        <w:tab/>
      </w:r>
    </w:p>
    <w:p w:rsidR="008E7A5B" w:rsidRPr="00A773D1" w:rsidP="00881DFC" w14:paraId="218F4DEA" w14:textId="77777777">
      <w:pPr>
        <w:pStyle w:val="Default"/>
        <w:rPr>
          <w:color w:val="000000" w:themeColor="text1"/>
          <w:sz w:val="22"/>
          <w:szCs w:val="22"/>
        </w:rPr>
      </w:pPr>
      <w:r w:rsidRPr="00A773D1">
        <w:rPr>
          <w:color w:val="000000" w:themeColor="text1"/>
          <w:sz w:val="22"/>
          <w:szCs w:val="22"/>
        </w:rPr>
        <w:t xml:space="preserve">On May 8, 2018, an Agent from the Boston Office of the Federal Communications Commission’s (FCC’s or Commission’s) Enforcement Bureau (Bureau) investigated a complaint </w:t>
      </w:r>
      <w:r w:rsidRPr="00A773D1">
        <w:rPr>
          <w:color w:val="000000" w:themeColor="text1"/>
          <w:sz w:val="22"/>
          <w:szCs w:val="22"/>
        </w:rPr>
        <w:t xml:space="preserve">that Barnstable High School in Barnstable, Massachusetts was operating radio transmitting equipment without authorization.  The Agent found that Barnstable High School was operating a Motorola XPR-8400 repeater on the </w:t>
      </w:r>
      <w:r w:rsidRPr="00A773D1" w:rsidR="003F515A">
        <w:rPr>
          <w:color w:val="000000" w:themeColor="text1"/>
          <w:sz w:val="22"/>
          <w:szCs w:val="22"/>
        </w:rPr>
        <w:t xml:space="preserve">Land Mobile Radio Service </w:t>
      </w:r>
      <w:r w:rsidRPr="00A773D1" w:rsidR="006644DA">
        <w:rPr>
          <w:color w:val="000000" w:themeColor="text1"/>
          <w:sz w:val="22"/>
          <w:szCs w:val="22"/>
        </w:rPr>
        <w:t xml:space="preserve">frequency 463.375 MHz </w:t>
      </w:r>
      <w:r w:rsidRPr="00A773D1">
        <w:rPr>
          <w:color w:val="000000" w:themeColor="text1"/>
          <w:sz w:val="22"/>
          <w:szCs w:val="22"/>
        </w:rPr>
        <w:t>at 744</w:t>
      </w:r>
      <w:r w:rsidRPr="00A773D1" w:rsidR="008C16BE">
        <w:rPr>
          <w:color w:val="000000" w:themeColor="text1"/>
          <w:sz w:val="22"/>
          <w:szCs w:val="22"/>
        </w:rPr>
        <w:t> </w:t>
      </w:r>
      <w:r w:rsidRPr="00A773D1">
        <w:rPr>
          <w:color w:val="000000" w:themeColor="text1"/>
          <w:sz w:val="22"/>
          <w:szCs w:val="22"/>
        </w:rPr>
        <w:t xml:space="preserve">West Main Street, Barnstable, Massachusetts.  The agent also found that Barnstable High School was operating </w:t>
      </w:r>
      <w:r w:rsidRPr="00A773D1" w:rsidR="00F80ABB">
        <w:rPr>
          <w:color w:val="000000" w:themeColor="text1"/>
          <w:sz w:val="22"/>
          <w:szCs w:val="22"/>
        </w:rPr>
        <w:t xml:space="preserve">Kenwood </w:t>
      </w:r>
      <w:r w:rsidRPr="00A773D1">
        <w:rPr>
          <w:color w:val="000000" w:themeColor="text1"/>
          <w:sz w:val="22"/>
          <w:szCs w:val="22"/>
        </w:rPr>
        <w:t xml:space="preserve">KPG-134D two-way radios </w:t>
      </w:r>
      <w:r w:rsidRPr="00A773D1" w:rsidR="00B4259C">
        <w:rPr>
          <w:color w:val="000000" w:themeColor="text1"/>
          <w:sz w:val="22"/>
          <w:szCs w:val="22"/>
        </w:rPr>
        <w:t xml:space="preserve">programmed with </w:t>
      </w:r>
      <w:r w:rsidRPr="00A773D1" w:rsidR="00B064E3">
        <w:rPr>
          <w:color w:val="000000" w:themeColor="text1"/>
          <w:sz w:val="22"/>
          <w:szCs w:val="22"/>
        </w:rPr>
        <w:t xml:space="preserve">multiple </w:t>
      </w:r>
      <w:r w:rsidRPr="00A773D1" w:rsidR="00B4259C">
        <w:rPr>
          <w:color w:val="000000" w:themeColor="text1"/>
          <w:sz w:val="22"/>
          <w:szCs w:val="22"/>
        </w:rPr>
        <w:t xml:space="preserve">frequencies in the </w:t>
      </w:r>
      <w:r w:rsidRPr="00A773D1" w:rsidR="003F515A">
        <w:rPr>
          <w:color w:val="000000" w:themeColor="text1"/>
          <w:sz w:val="22"/>
          <w:szCs w:val="22"/>
        </w:rPr>
        <w:t xml:space="preserve">Land Mobile Radio Service </w:t>
      </w:r>
      <w:r w:rsidRPr="00A773D1" w:rsidR="006644DA">
        <w:rPr>
          <w:color w:val="000000" w:themeColor="text1"/>
          <w:sz w:val="22"/>
          <w:szCs w:val="22"/>
        </w:rPr>
        <w:t>(LMRS), Family Radio Service (FRS), and General Mobile Radio Service (GMRS)</w:t>
      </w:r>
      <w:r w:rsidRPr="00A773D1" w:rsidR="00B4259C">
        <w:rPr>
          <w:color w:val="000000" w:themeColor="text1"/>
          <w:sz w:val="22"/>
          <w:szCs w:val="22"/>
        </w:rPr>
        <w:t>.</w:t>
      </w:r>
      <w:r>
        <w:rPr>
          <w:rStyle w:val="FootnoteReference"/>
          <w:color w:val="000000" w:themeColor="text1"/>
          <w:sz w:val="22"/>
          <w:szCs w:val="22"/>
          <w:vertAlign w:val="superscript"/>
        </w:rPr>
        <w:footnoteReference w:id="2"/>
      </w:r>
    </w:p>
    <w:p w:rsidR="009A1231" w:rsidRPr="00A773D1" w:rsidP="00881DFC" w14:paraId="11ACBC4A" w14:textId="77777777">
      <w:pPr>
        <w:widowControl/>
        <w:tabs>
          <w:tab w:val="left" w:pos="3855"/>
        </w:tabs>
        <w:rPr>
          <w:color w:val="000000" w:themeColor="text1"/>
          <w:sz w:val="22"/>
          <w:szCs w:val="22"/>
        </w:rPr>
      </w:pPr>
    </w:p>
    <w:p w:rsidR="009A1231" w:rsidRPr="00A773D1" w:rsidP="00881DFC" w14:paraId="2AC011CA" w14:textId="7FF0169A">
      <w:pPr>
        <w:widowControl/>
        <w:tabs>
          <w:tab w:val="left" w:pos="3855"/>
        </w:tabs>
        <w:rPr>
          <w:color w:val="C00000"/>
          <w:sz w:val="22"/>
          <w:szCs w:val="22"/>
        </w:rPr>
      </w:pPr>
      <w:r w:rsidRPr="00A773D1">
        <w:rPr>
          <w:color w:val="000000" w:themeColor="text1"/>
          <w:sz w:val="22"/>
          <w:szCs w:val="22"/>
        </w:rPr>
        <w:t xml:space="preserve">The Commission’s records show that </w:t>
      </w:r>
      <w:r w:rsidRPr="00A773D1" w:rsidR="00F80ABB">
        <w:rPr>
          <w:color w:val="000000" w:themeColor="text1"/>
          <w:sz w:val="22"/>
          <w:szCs w:val="22"/>
        </w:rPr>
        <w:t xml:space="preserve">the Town of Barnstable </w:t>
      </w:r>
      <w:r w:rsidRPr="00A773D1" w:rsidR="00B4259C">
        <w:rPr>
          <w:color w:val="000000" w:themeColor="text1"/>
          <w:sz w:val="22"/>
          <w:szCs w:val="22"/>
        </w:rPr>
        <w:t xml:space="preserve">does not hold </w:t>
      </w:r>
      <w:r w:rsidRPr="00A773D1" w:rsidR="00F80ABB">
        <w:rPr>
          <w:color w:val="000000" w:themeColor="text1"/>
          <w:sz w:val="22"/>
          <w:szCs w:val="22"/>
        </w:rPr>
        <w:t>a license to operate any r</w:t>
      </w:r>
      <w:r w:rsidRPr="00A773D1">
        <w:rPr>
          <w:sz w:val="22"/>
          <w:szCs w:val="22"/>
        </w:rPr>
        <w:t xml:space="preserve">adio transmitting equipment </w:t>
      </w:r>
      <w:r w:rsidRPr="00A773D1" w:rsidR="006644DA">
        <w:rPr>
          <w:sz w:val="22"/>
          <w:szCs w:val="22"/>
        </w:rPr>
        <w:t>on the LMR</w:t>
      </w:r>
      <w:r w:rsidRPr="00A773D1" w:rsidR="00B064E3">
        <w:rPr>
          <w:sz w:val="22"/>
          <w:szCs w:val="22"/>
        </w:rPr>
        <w:t>S</w:t>
      </w:r>
      <w:r w:rsidRPr="00A773D1" w:rsidR="006644DA">
        <w:rPr>
          <w:sz w:val="22"/>
          <w:szCs w:val="22"/>
        </w:rPr>
        <w:t xml:space="preserve"> frequencies </w:t>
      </w:r>
      <w:bookmarkStart w:id="1" w:name="_Hlk533585785"/>
      <w:r w:rsidRPr="00A773D1" w:rsidR="006644DA">
        <w:rPr>
          <w:sz w:val="22"/>
          <w:szCs w:val="22"/>
        </w:rPr>
        <w:t xml:space="preserve">463.3750 MHz, 464.3250 MHz, </w:t>
      </w:r>
      <w:r w:rsidRPr="00A773D1" w:rsidR="00B064E3">
        <w:rPr>
          <w:sz w:val="22"/>
          <w:szCs w:val="22"/>
        </w:rPr>
        <w:t xml:space="preserve">or </w:t>
      </w:r>
      <w:r w:rsidRPr="00A773D1" w:rsidR="006644DA">
        <w:rPr>
          <w:sz w:val="22"/>
          <w:szCs w:val="22"/>
        </w:rPr>
        <w:t xml:space="preserve">468.3750 </w:t>
      </w:r>
      <w:bookmarkEnd w:id="1"/>
      <w:r w:rsidRPr="00A773D1" w:rsidR="006644DA">
        <w:rPr>
          <w:sz w:val="22"/>
          <w:szCs w:val="22"/>
        </w:rPr>
        <w:t>MHz</w:t>
      </w:r>
      <w:r w:rsidRPr="00A773D1" w:rsidR="006E7A47">
        <w:rPr>
          <w:sz w:val="22"/>
          <w:szCs w:val="22"/>
        </w:rPr>
        <w:t>.</w:t>
      </w:r>
      <w:r>
        <w:rPr>
          <w:rStyle w:val="FootnoteReference"/>
          <w:sz w:val="22"/>
          <w:szCs w:val="22"/>
          <w:vertAlign w:val="superscript"/>
        </w:rPr>
        <w:footnoteReference w:id="3"/>
      </w:r>
      <w:r w:rsidRPr="00A773D1" w:rsidR="006644DA">
        <w:rPr>
          <w:sz w:val="22"/>
          <w:szCs w:val="22"/>
        </w:rPr>
        <w:t xml:space="preserve">  Furthermore, there is no evidence that </w:t>
      </w:r>
      <w:r w:rsidRPr="00A773D1" w:rsidR="00F80ABB">
        <w:rPr>
          <w:sz w:val="22"/>
          <w:szCs w:val="22"/>
        </w:rPr>
        <w:t xml:space="preserve">the Town of </w:t>
      </w:r>
      <w:r w:rsidRPr="00A773D1" w:rsidR="006644DA">
        <w:rPr>
          <w:sz w:val="22"/>
          <w:szCs w:val="22"/>
        </w:rPr>
        <w:t xml:space="preserve">Barnstable </w:t>
      </w:r>
      <w:r w:rsidRPr="00A773D1" w:rsidR="00F80ABB">
        <w:rPr>
          <w:sz w:val="22"/>
          <w:szCs w:val="22"/>
        </w:rPr>
        <w:t>holds</w:t>
      </w:r>
      <w:r w:rsidRPr="00A773D1" w:rsidR="00B064E3">
        <w:rPr>
          <w:sz w:val="22"/>
          <w:szCs w:val="22"/>
        </w:rPr>
        <w:t>, or is eligible to hold,</w:t>
      </w:r>
      <w:r w:rsidRPr="00A773D1" w:rsidR="006644DA">
        <w:rPr>
          <w:sz w:val="22"/>
          <w:szCs w:val="22"/>
        </w:rPr>
        <w:t xml:space="preserve"> a license to operate </w:t>
      </w:r>
      <w:r w:rsidRPr="00A773D1" w:rsidR="00F80ABB">
        <w:rPr>
          <w:sz w:val="22"/>
          <w:szCs w:val="22"/>
        </w:rPr>
        <w:t xml:space="preserve">radio transmitting equipment </w:t>
      </w:r>
      <w:r w:rsidRPr="00A773D1" w:rsidR="006644DA">
        <w:rPr>
          <w:sz w:val="22"/>
          <w:szCs w:val="22"/>
        </w:rPr>
        <w:t xml:space="preserve">on any </w:t>
      </w:r>
      <w:r w:rsidRPr="00A773D1" w:rsidR="00EF62FD">
        <w:rPr>
          <w:sz w:val="22"/>
          <w:szCs w:val="22"/>
        </w:rPr>
        <w:t>GMRS f</w:t>
      </w:r>
      <w:r w:rsidRPr="00A773D1" w:rsidR="006644DA">
        <w:rPr>
          <w:sz w:val="22"/>
          <w:szCs w:val="22"/>
        </w:rPr>
        <w:t>requency.</w:t>
      </w:r>
      <w:r>
        <w:rPr>
          <w:rStyle w:val="FootnoteReference"/>
          <w:sz w:val="22"/>
          <w:szCs w:val="22"/>
          <w:vertAlign w:val="superscript"/>
        </w:rPr>
        <w:footnoteReference w:id="4"/>
      </w:r>
      <w:r w:rsidRPr="00A773D1" w:rsidR="006644DA">
        <w:rPr>
          <w:sz w:val="22"/>
          <w:szCs w:val="22"/>
        </w:rPr>
        <w:t xml:space="preserve">  </w:t>
      </w:r>
      <w:r w:rsidRPr="00A773D1" w:rsidR="00F80ABB">
        <w:rPr>
          <w:sz w:val="22"/>
          <w:szCs w:val="22"/>
        </w:rPr>
        <w:t xml:space="preserve">Although an individual license is not required to operate radio transmitting equipment in the FRS, the radio transmitting equipment must be certificated for use in the FRS </w:t>
      </w:r>
      <w:r w:rsidRPr="00A773D1" w:rsidR="00F80ABB">
        <w:rPr>
          <w:color w:val="000000"/>
          <w:sz w:val="22"/>
          <w:szCs w:val="22"/>
          <w:shd w:val="clear" w:color="auto" w:fill="FFFFFF"/>
        </w:rPr>
        <w:t xml:space="preserve">in accordance with subpart J of part 2 of </w:t>
      </w:r>
      <w:r w:rsidRPr="00A773D1" w:rsidR="00B064E3">
        <w:rPr>
          <w:color w:val="000000"/>
          <w:sz w:val="22"/>
          <w:szCs w:val="22"/>
          <w:shd w:val="clear" w:color="auto" w:fill="FFFFFF"/>
        </w:rPr>
        <w:t>the Commission’s Rules.</w:t>
      </w:r>
      <w:r>
        <w:rPr>
          <w:rStyle w:val="FootnoteReference"/>
          <w:color w:val="000000"/>
          <w:sz w:val="22"/>
          <w:szCs w:val="22"/>
          <w:shd w:val="clear" w:color="auto" w:fill="FFFFFF"/>
          <w:vertAlign w:val="superscript"/>
        </w:rPr>
        <w:footnoteReference w:id="5"/>
      </w:r>
      <w:r w:rsidRPr="00A773D1" w:rsidR="00B064E3">
        <w:rPr>
          <w:color w:val="000000"/>
          <w:sz w:val="22"/>
          <w:szCs w:val="22"/>
          <w:shd w:val="clear" w:color="auto" w:fill="FFFFFF"/>
          <w:vertAlign w:val="superscript"/>
        </w:rPr>
        <w:t xml:space="preserve"> </w:t>
      </w:r>
      <w:r w:rsidRPr="00A773D1" w:rsidR="00B064E3">
        <w:rPr>
          <w:color w:val="000000"/>
          <w:sz w:val="22"/>
          <w:szCs w:val="22"/>
          <w:shd w:val="clear" w:color="auto" w:fill="FFFFFF"/>
        </w:rPr>
        <w:t xml:space="preserve"> </w:t>
      </w:r>
      <w:r w:rsidRPr="00A773D1">
        <w:rPr>
          <w:sz w:val="22"/>
          <w:szCs w:val="22"/>
        </w:rPr>
        <w:t xml:space="preserve">The Town of Barnstable would not be authorized to operate its </w:t>
      </w:r>
      <w:r w:rsidRPr="00A773D1" w:rsidR="00F80ABB">
        <w:rPr>
          <w:sz w:val="22"/>
          <w:szCs w:val="22"/>
        </w:rPr>
        <w:t xml:space="preserve">Kenwood </w:t>
      </w:r>
      <w:r w:rsidRPr="00A773D1">
        <w:rPr>
          <w:sz w:val="22"/>
          <w:szCs w:val="22"/>
        </w:rPr>
        <w:t>KPG-134D two way radios on any F</w:t>
      </w:r>
      <w:r w:rsidRPr="00A773D1" w:rsidR="00F80ABB">
        <w:rPr>
          <w:sz w:val="22"/>
          <w:szCs w:val="22"/>
        </w:rPr>
        <w:t xml:space="preserve">RS </w:t>
      </w:r>
      <w:r w:rsidRPr="00A773D1">
        <w:rPr>
          <w:sz w:val="22"/>
          <w:szCs w:val="22"/>
        </w:rPr>
        <w:t xml:space="preserve">frequency because that radio is not certificated for use in the </w:t>
      </w:r>
      <w:r w:rsidRPr="00A773D1" w:rsidR="00F80ABB">
        <w:rPr>
          <w:sz w:val="22"/>
          <w:szCs w:val="22"/>
        </w:rPr>
        <w:t>FRS.</w:t>
      </w:r>
    </w:p>
    <w:p w:rsidR="00A773D1" w:rsidP="00881DFC" w14:paraId="02FB5B74" w14:textId="77777777">
      <w:pPr>
        <w:widowControl/>
        <w:rPr>
          <w:sz w:val="22"/>
          <w:szCs w:val="22"/>
        </w:rPr>
      </w:pPr>
    </w:p>
    <w:p w:rsidR="00881DFC" w:rsidRPr="00A773D1" w:rsidP="00881DFC" w14:paraId="6B04CBC7" w14:textId="68B45FC3">
      <w:pPr>
        <w:widowControl/>
        <w:rPr>
          <w:sz w:val="22"/>
          <w:szCs w:val="22"/>
        </w:rPr>
      </w:pPr>
      <w:r w:rsidRPr="00A773D1">
        <w:rPr>
          <w:sz w:val="22"/>
          <w:szCs w:val="22"/>
        </w:rPr>
        <w:t>Radio stations operating on a range of frequencies</w:t>
      </w:r>
      <w:r w:rsidRPr="00A773D1">
        <w:rPr>
          <w:sz w:val="22"/>
          <w:szCs w:val="22"/>
        </w:rPr>
        <w:t>,</w:t>
      </w:r>
      <w:r w:rsidRPr="00A773D1">
        <w:rPr>
          <w:rStyle w:val="FootnoteReference"/>
          <w:sz w:val="22"/>
          <w:szCs w:val="22"/>
          <w:vertAlign w:val="superscript"/>
        </w:rPr>
        <w:t xml:space="preserve"> </w:t>
      </w:r>
      <w:r w:rsidRPr="00A773D1">
        <w:rPr>
          <w:sz w:val="22"/>
          <w:szCs w:val="22"/>
        </w:rPr>
        <w:t xml:space="preserve">including </w:t>
      </w:r>
      <w:r w:rsidRPr="00A773D1" w:rsidR="00B064E3">
        <w:rPr>
          <w:sz w:val="22"/>
          <w:szCs w:val="22"/>
        </w:rPr>
        <w:t xml:space="preserve">463.3750 MHz, 464.3250 MHz, and 468.3750 </w:t>
      </w:r>
      <w:r w:rsidRPr="00A773D1" w:rsidR="00F80ABB">
        <w:rPr>
          <w:sz w:val="22"/>
          <w:szCs w:val="22"/>
        </w:rPr>
        <w:t>MHz</w:t>
      </w:r>
      <w:r w:rsidRPr="00A773D1">
        <w:rPr>
          <w:sz w:val="22"/>
          <w:szCs w:val="22"/>
        </w:rPr>
        <w:t>, must be licensed by the FCC pursuant to Section 301 of the Communications Act of 1934, as amended (Act).</w:t>
      </w:r>
      <w:r>
        <w:rPr>
          <w:rStyle w:val="FootnoteReference"/>
          <w:sz w:val="22"/>
          <w:szCs w:val="22"/>
          <w:vertAlign w:val="superscript"/>
        </w:rPr>
        <w:footnoteReference w:id="6"/>
      </w:r>
      <w:r w:rsidRPr="00A773D1">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vertAlign w:val="superscript"/>
        </w:rPr>
        <w:footnoteReference w:id="7"/>
      </w:r>
      <w:r w:rsidRPr="00A773D1">
        <w:rPr>
          <w:sz w:val="22"/>
          <w:szCs w:val="22"/>
        </w:rPr>
        <w:t xml:space="preserve">  </w:t>
      </w:r>
      <w:r w:rsidRPr="00A773D1" w:rsidR="00746748">
        <w:rPr>
          <w:color w:val="000000"/>
          <w:sz w:val="22"/>
          <w:szCs w:val="22"/>
        </w:rPr>
        <w:t xml:space="preserve"> The above described operations by Barnstable on these frequencies violates </w:t>
      </w:r>
      <w:r w:rsidRPr="00A773D1">
        <w:rPr>
          <w:color w:val="000000"/>
          <w:sz w:val="22"/>
          <w:szCs w:val="22"/>
        </w:rPr>
        <w:t>Section 301 of the Act.</w:t>
      </w:r>
      <w:r>
        <w:rPr>
          <w:rStyle w:val="FootnoteReference"/>
          <w:color w:val="000000"/>
          <w:sz w:val="22"/>
          <w:szCs w:val="22"/>
          <w:vertAlign w:val="superscript"/>
        </w:rPr>
        <w:footnoteReference w:id="8"/>
      </w:r>
      <w:r w:rsidRPr="00A773D1">
        <w:rPr>
          <w:color w:val="000000"/>
          <w:sz w:val="22"/>
          <w:szCs w:val="22"/>
        </w:rPr>
        <w:t xml:space="preserve">  </w:t>
      </w:r>
    </w:p>
    <w:p w:rsidR="00881DFC" w:rsidRPr="00A773D1" w:rsidP="00881DFC" w14:paraId="320A6F08" w14:textId="77777777">
      <w:pPr>
        <w:widowControl/>
        <w:rPr>
          <w:sz w:val="22"/>
          <w:szCs w:val="22"/>
        </w:rPr>
      </w:pPr>
    </w:p>
    <w:p w:rsidR="00881DFC" w:rsidRPr="00A773D1" w:rsidP="00881DFC" w14:paraId="5552425F" w14:textId="77777777">
      <w:pPr>
        <w:widowControl/>
        <w:rPr>
          <w:sz w:val="22"/>
          <w:szCs w:val="22"/>
        </w:rPr>
      </w:pPr>
      <w:r w:rsidRPr="00A773D1">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A773D1">
        <w:rPr>
          <w:i/>
          <w:sz w:val="22"/>
          <w:szCs w:val="22"/>
        </w:rPr>
        <w:t>in rem</w:t>
      </w:r>
      <w:r w:rsidRPr="00A773D1">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9"/>
      </w:r>
      <w:r w:rsidRPr="00A773D1">
        <w:rPr>
          <w:sz w:val="22"/>
          <w:szCs w:val="22"/>
        </w:rPr>
        <w:t xml:space="preserve">  </w:t>
      </w:r>
    </w:p>
    <w:p w:rsidR="00881DFC" w:rsidRPr="00A773D1" w:rsidP="00881DFC" w14:paraId="4FC926C1" w14:textId="77777777">
      <w:pPr>
        <w:widowControl/>
        <w:rPr>
          <w:sz w:val="22"/>
          <w:szCs w:val="22"/>
        </w:rPr>
      </w:pPr>
    </w:p>
    <w:p w:rsidR="00881DFC" w:rsidRPr="00A773D1" w:rsidP="00881DFC" w14:paraId="72E097B2" w14:textId="77777777">
      <w:pPr>
        <w:widowControl/>
        <w:rPr>
          <w:sz w:val="22"/>
          <w:szCs w:val="22"/>
        </w:rPr>
      </w:pPr>
      <w:r w:rsidRPr="00A773D1">
        <w:rPr>
          <w:b/>
          <w:sz w:val="22"/>
          <w:szCs w:val="22"/>
        </w:rPr>
        <w:t>UNLICENSED OPERATION OF THESE RADIO STATIONS MUST BE DISCONTINUED IMMEDIATELY AND MUST NOT RESUME</w:t>
      </w:r>
      <w:r w:rsidRPr="00A773D1">
        <w:rPr>
          <w:sz w:val="22"/>
          <w:szCs w:val="22"/>
        </w:rPr>
        <w:t>.</w:t>
      </w:r>
    </w:p>
    <w:p w:rsidR="00881DFC" w:rsidRPr="00A773D1" w:rsidP="00881DFC" w14:paraId="2D2882D9" w14:textId="77777777">
      <w:pPr>
        <w:widowControl/>
        <w:rPr>
          <w:sz w:val="22"/>
          <w:szCs w:val="22"/>
        </w:rPr>
      </w:pPr>
    </w:p>
    <w:p w:rsidR="00881DFC" w:rsidRPr="00A773D1" w:rsidP="00881DFC" w14:paraId="063089FD" w14:textId="77777777">
      <w:pPr>
        <w:widowControl/>
        <w:rPr>
          <w:sz w:val="22"/>
          <w:szCs w:val="22"/>
        </w:rPr>
      </w:pPr>
      <w:r w:rsidRPr="00A773D1">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10"/>
      </w:r>
      <w:r w:rsidRPr="00A773D1">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881DFC" w:rsidRPr="00A773D1" w:rsidP="00881DFC" w14:paraId="0F2A6982" w14:textId="77777777">
      <w:pPr>
        <w:widowControl/>
        <w:rPr>
          <w:sz w:val="22"/>
          <w:szCs w:val="22"/>
        </w:rPr>
      </w:pPr>
    </w:p>
    <w:p w:rsidR="00881DFC" w:rsidRPr="00A773D1" w:rsidP="00881DFC" w14:paraId="691E5559" w14:textId="77777777">
      <w:pPr>
        <w:widowControl/>
        <w:tabs>
          <w:tab w:val="left" w:pos="-360"/>
        </w:tabs>
        <w:rPr>
          <w:sz w:val="22"/>
          <w:szCs w:val="22"/>
        </w:rPr>
      </w:pPr>
      <w:r w:rsidRPr="00A773D1">
        <w:rPr>
          <w:sz w:val="22"/>
          <w:szCs w:val="22"/>
        </w:rPr>
        <w:t>You may contact this office if you have any questions.</w:t>
      </w:r>
    </w:p>
    <w:p w:rsidR="00881DFC" w:rsidRPr="00A773D1" w:rsidP="00881DFC" w14:paraId="4BBD2F38" w14:textId="77777777">
      <w:pPr>
        <w:widowControl/>
        <w:tabs>
          <w:tab w:val="left" w:pos="-360"/>
        </w:tabs>
        <w:rPr>
          <w:sz w:val="22"/>
          <w:szCs w:val="22"/>
        </w:rPr>
      </w:pPr>
    </w:p>
    <w:p w:rsidR="00881DFC" w:rsidRPr="00A773D1" w:rsidP="00881DFC" w14:paraId="33C942CC" w14:textId="77777777">
      <w:pPr>
        <w:widowControl/>
        <w:tabs>
          <w:tab w:val="left" w:pos="-360"/>
        </w:tabs>
        <w:rPr>
          <w:sz w:val="22"/>
          <w:szCs w:val="22"/>
        </w:rPr>
      </w:pPr>
    </w:p>
    <w:p w:rsidR="00881DFC" w:rsidRPr="00A773D1" w:rsidP="00881DFC" w14:paraId="4B146294" w14:textId="77777777">
      <w:pPr>
        <w:widowControl/>
        <w:tabs>
          <w:tab w:val="left" w:pos="-360"/>
        </w:tabs>
        <w:rPr>
          <w:sz w:val="22"/>
          <w:szCs w:val="22"/>
        </w:rPr>
      </w:pPr>
    </w:p>
    <w:p w:rsidR="00881DFC" w:rsidRPr="00A773D1" w:rsidP="00881DFC" w14:paraId="681692C4" w14:textId="77777777">
      <w:pPr>
        <w:widowControl/>
        <w:tabs>
          <w:tab w:val="left" w:pos="-360"/>
        </w:tabs>
        <w:rPr>
          <w:sz w:val="22"/>
          <w:szCs w:val="22"/>
        </w:rPr>
      </w:pPr>
    </w:p>
    <w:p w:rsidR="00881DFC" w:rsidRPr="00A773D1" w:rsidP="00881DFC" w14:paraId="45096296" w14:textId="77777777">
      <w:pPr>
        <w:rPr>
          <w:snapToGrid/>
          <w:sz w:val="22"/>
          <w:szCs w:val="22"/>
        </w:rPr>
      </w:pPr>
      <w:r w:rsidRPr="00A773D1">
        <w:rPr>
          <w:sz w:val="22"/>
          <w:szCs w:val="22"/>
        </w:rPr>
        <w:t>David C. Dombrowski</w:t>
      </w:r>
    </w:p>
    <w:p w:rsidR="00881DFC" w:rsidRPr="00A773D1" w:rsidP="00881DFC" w14:paraId="1417F83A" w14:textId="77777777">
      <w:pPr>
        <w:rPr>
          <w:sz w:val="22"/>
          <w:szCs w:val="22"/>
        </w:rPr>
      </w:pPr>
      <w:r w:rsidRPr="00A773D1">
        <w:rPr>
          <w:sz w:val="22"/>
          <w:szCs w:val="22"/>
        </w:rPr>
        <w:t>Regional Director</w:t>
      </w:r>
    </w:p>
    <w:p w:rsidR="00881DFC" w:rsidRPr="00A773D1" w:rsidP="00881DFC" w14:paraId="769A737A" w14:textId="77777777">
      <w:pPr>
        <w:rPr>
          <w:sz w:val="22"/>
          <w:szCs w:val="22"/>
        </w:rPr>
      </w:pPr>
      <w:r w:rsidRPr="00A773D1">
        <w:rPr>
          <w:sz w:val="22"/>
          <w:szCs w:val="22"/>
        </w:rPr>
        <w:t>Region One</w:t>
      </w:r>
    </w:p>
    <w:p w:rsidR="00881DFC" w:rsidRPr="00A773D1" w:rsidP="00881DFC" w14:paraId="1E4D082F" w14:textId="77777777">
      <w:pPr>
        <w:rPr>
          <w:sz w:val="22"/>
          <w:szCs w:val="22"/>
        </w:rPr>
      </w:pPr>
      <w:r w:rsidRPr="00A773D1">
        <w:rPr>
          <w:sz w:val="22"/>
          <w:szCs w:val="22"/>
        </w:rPr>
        <w:t>Enforcement Bureau</w:t>
      </w:r>
    </w:p>
    <w:p w:rsidR="00881DFC" w:rsidRPr="00A773D1" w:rsidP="00881DFC" w14:paraId="0C3FA61B" w14:textId="77777777">
      <w:pPr>
        <w:rPr>
          <w:sz w:val="22"/>
          <w:szCs w:val="22"/>
        </w:rPr>
      </w:pPr>
      <w:r w:rsidRPr="00A773D1">
        <w:rPr>
          <w:sz w:val="22"/>
          <w:szCs w:val="22"/>
        </w:rPr>
        <w:t>Federal Communications Commission</w:t>
      </w:r>
    </w:p>
    <w:p w:rsidR="00881DFC" w:rsidRPr="00A773D1" w:rsidP="00881DFC" w14:paraId="00D401AD" w14:textId="77777777">
      <w:pPr>
        <w:suppressAutoHyphens/>
        <w:rPr>
          <w:sz w:val="22"/>
          <w:szCs w:val="22"/>
        </w:rPr>
      </w:pPr>
    </w:p>
    <w:p w:rsidR="00881DFC" w:rsidRPr="00A773D1" w:rsidP="00881DFC" w14:paraId="6050EF3C" w14:textId="77777777">
      <w:pPr>
        <w:suppressAutoHyphens/>
        <w:rPr>
          <w:sz w:val="22"/>
          <w:szCs w:val="22"/>
        </w:rPr>
      </w:pPr>
    </w:p>
    <w:p w:rsidR="00881DFC" w:rsidRPr="00A773D1" w:rsidP="00881DFC" w14:paraId="1BF6C324" w14:textId="77777777">
      <w:pPr>
        <w:suppressAutoHyphens/>
        <w:rPr>
          <w:sz w:val="22"/>
          <w:szCs w:val="22"/>
        </w:rPr>
      </w:pPr>
      <w:r w:rsidRPr="00A773D1">
        <w:rPr>
          <w:sz w:val="22"/>
          <w:szCs w:val="22"/>
        </w:rPr>
        <w:t>Attachments:</w:t>
      </w:r>
    </w:p>
    <w:p w:rsidR="00881DFC" w:rsidRPr="00A773D1" w:rsidP="00881DFC" w14:paraId="64A9020F" w14:textId="77777777">
      <w:pPr>
        <w:suppressAutoHyphens/>
        <w:rPr>
          <w:sz w:val="22"/>
          <w:szCs w:val="22"/>
        </w:rPr>
      </w:pPr>
      <w:r w:rsidRPr="00A773D1">
        <w:rPr>
          <w:sz w:val="22"/>
          <w:szCs w:val="22"/>
        </w:rPr>
        <w:tab/>
        <w:t>Excerpts from the Communications Act of 1934, As Amended</w:t>
      </w:r>
    </w:p>
    <w:p w:rsidR="007D3EFB" w:rsidP="008F6E33" w14:paraId="7E36A45B" w14:textId="6ACA9886">
      <w:pPr>
        <w:suppressAutoHyphens/>
      </w:pPr>
      <w:r w:rsidRPr="00A773D1">
        <w:rPr>
          <w:sz w:val="22"/>
          <w:szCs w:val="22"/>
        </w:rPr>
        <w:tab/>
        <w:t>Enforcement Bureau, "Inspection Fact Sheet", March 20</w:t>
      </w:r>
      <w:r w:rsidRPr="0008268D">
        <w:rPr>
          <w:szCs w:val="24"/>
        </w:rPr>
        <w:t>05</w:t>
      </w:r>
    </w:p>
    <w:sectPr w:rsidSect="00881DF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F47" w14:paraId="63B89B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F47" w14:paraId="28DDCF6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F47" w14:paraId="4F72D7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1D2E" w:rsidP="00881DFC" w14:paraId="4909CC29" w14:textId="77777777">
      <w:r>
        <w:separator/>
      </w:r>
    </w:p>
  </w:footnote>
  <w:footnote w:type="continuationSeparator" w:id="1">
    <w:p w:rsidR="002D1D2E" w:rsidP="00881DFC" w14:paraId="0D40F6C1" w14:textId="77777777">
      <w:r>
        <w:continuationSeparator/>
      </w:r>
    </w:p>
  </w:footnote>
  <w:footnote w:id="2">
    <w:p w:rsidR="00B064E3" w:rsidP="00B064E3" w14:paraId="02C58226" w14:textId="77777777">
      <w:pPr>
        <w:pStyle w:val="FootnoteText"/>
      </w:pPr>
      <w:r w:rsidRPr="009A05FB">
        <w:rPr>
          <w:rStyle w:val="FootnoteReference"/>
          <w:vertAlign w:val="superscript"/>
        </w:rPr>
        <w:footnoteRef/>
      </w:r>
      <w:r w:rsidRPr="009A05FB">
        <w:rPr>
          <w:vertAlign w:val="superscript"/>
        </w:rPr>
        <w:t xml:space="preserve"> </w:t>
      </w:r>
      <w:r>
        <w:t xml:space="preserve">The LMRS frequencies are 468.3750 and 464.3250 MHz and the FRS/GMRS frequencies are 462.6125, 464.3250, 462.6375, 462.5625, 462.6875, 462.7125, 462.6125, and </w:t>
      </w:r>
      <w:r w:rsidR="006E7A47">
        <w:t>462.5625 MHz.</w:t>
      </w:r>
      <w:r>
        <w:t xml:space="preserve">  </w:t>
      </w:r>
    </w:p>
    <w:p w:rsidR="00EF62FD" w:rsidP="00B064E3" w14:paraId="6E1E9563" w14:textId="77777777">
      <w:pPr>
        <w:pStyle w:val="FootnoteText"/>
      </w:pPr>
    </w:p>
  </w:footnote>
  <w:footnote w:id="3">
    <w:p w:rsidR="006644DA" w14:paraId="2655EFE7" w14:textId="77777777">
      <w:pPr>
        <w:pStyle w:val="FootnoteText"/>
      </w:pPr>
      <w:r w:rsidRPr="009A1231">
        <w:rPr>
          <w:rStyle w:val="FootnoteReference"/>
          <w:vertAlign w:val="superscript"/>
        </w:rPr>
        <w:footnoteRef/>
      </w:r>
      <w:r>
        <w:t xml:space="preserve"> </w:t>
      </w:r>
      <w:r w:rsidR="009A1231">
        <w:t xml:space="preserve">The Land Mobile Radio Service license WPDK848 authorized the </w:t>
      </w:r>
      <w:r>
        <w:t>Town of Barnstable to operate radio transmitting equipment on the frequencies 463.3750 MHz, 463.8500 MHz, and 468.3750 M</w:t>
      </w:r>
      <w:r w:rsidR="009A1231">
        <w:t xml:space="preserve">Hz.  </w:t>
      </w:r>
      <w:r>
        <w:t>However, that license expired on October 12, 2003.</w:t>
      </w:r>
    </w:p>
    <w:p w:rsidR="009A1231" w14:paraId="49E141EA" w14:textId="77777777">
      <w:pPr>
        <w:pStyle w:val="FootnoteText"/>
      </w:pPr>
    </w:p>
  </w:footnote>
  <w:footnote w:id="4">
    <w:p w:rsidR="009A1231" w14:paraId="61AA9568" w14:textId="77777777">
      <w:pPr>
        <w:pStyle w:val="FootnoteText"/>
      </w:pPr>
      <w:r w:rsidRPr="009A1231">
        <w:rPr>
          <w:rStyle w:val="FootnoteReference"/>
          <w:vertAlign w:val="superscript"/>
        </w:rPr>
        <w:footnoteRef/>
      </w:r>
      <w:r>
        <w:t xml:space="preserve"> Pursuant to Section 95.1705 of the Rules</w:t>
      </w:r>
      <w:r w:rsidR="00DE4504">
        <w:t xml:space="preserve">, </w:t>
      </w:r>
      <w:r>
        <w:t>a valid individual license is required to operate a GMRS station.</w:t>
      </w:r>
      <w:r w:rsidRPr="00DE4504" w:rsidR="00DE4504">
        <w:t xml:space="preserve"> 47 CFR</w:t>
      </w:r>
      <w:r w:rsidR="00DE4504">
        <w:t> </w:t>
      </w:r>
      <w:r w:rsidRPr="00DE4504" w:rsidR="00DE4504">
        <w:t>§</w:t>
      </w:r>
      <w:r w:rsidR="00DE4504">
        <w:t> </w:t>
      </w:r>
      <w:r w:rsidRPr="00DE4504" w:rsidR="00DE4504">
        <w:t>95.1705</w:t>
      </w:r>
      <w:r w:rsidR="00DE4504">
        <w:t>.</w:t>
      </w:r>
    </w:p>
    <w:p w:rsidR="009A1231" w14:paraId="6832AA18" w14:textId="77777777">
      <w:pPr>
        <w:pStyle w:val="FootnoteText"/>
      </w:pPr>
    </w:p>
  </w:footnote>
  <w:footnote w:id="5">
    <w:p w:rsidR="00B064E3" w14:paraId="7AB44976" w14:textId="77777777">
      <w:pPr>
        <w:pStyle w:val="FootnoteText"/>
      </w:pPr>
      <w:r w:rsidRPr="008F6E33">
        <w:rPr>
          <w:rStyle w:val="FootnoteReference"/>
          <w:vertAlign w:val="superscript"/>
        </w:rPr>
        <w:footnoteRef/>
      </w:r>
      <w:r w:rsidRPr="008F6E33">
        <w:rPr>
          <w:rStyle w:val="FootnoteReference"/>
          <w:vertAlign w:val="superscript"/>
        </w:rPr>
        <w:t xml:space="preserve"> </w:t>
      </w:r>
      <w:r>
        <w:t xml:space="preserve">47 CFR </w:t>
      </w:r>
      <w:r w:rsidRPr="00C33D76" w:rsidR="00C33D76">
        <w:t xml:space="preserve">§ </w:t>
      </w:r>
      <w:r>
        <w:t xml:space="preserve">95.603(d).  </w:t>
      </w:r>
    </w:p>
    <w:p w:rsidR="00B064E3" w14:paraId="71731F89" w14:textId="77777777">
      <w:pPr>
        <w:pStyle w:val="FootnoteText"/>
      </w:pPr>
    </w:p>
  </w:footnote>
  <w:footnote w:id="6">
    <w:p w:rsidR="00881DFC" w:rsidP="00881DFC" w14:paraId="688DCBB8"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7">
    <w:p w:rsidR="00881DFC" w:rsidP="00881DFC" w14:paraId="22CD42EA"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8">
    <w:p w:rsidR="00881DFC" w:rsidP="00881DFC" w14:paraId="378CC228"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9">
    <w:p w:rsidR="00881DFC" w:rsidP="00881DFC" w14:paraId="2E014662"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w:t>
      </w:r>
      <w:r w:rsidR="00D1030A">
        <w:rPr>
          <w:szCs w:val="24"/>
        </w:rPr>
        <w:t>,</w:t>
      </w:r>
      <w:r w:rsidRPr="004E291F">
        <w:rPr>
          <w:szCs w:val="24"/>
        </w:rPr>
        <w:t xml:space="preserve"> and 510.</w:t>
      </w:r>
    </w:p>
  </w:footnote>
  <w:footnote w:id="10">
    <w:p w:rsidR="00881DFC" w:rsidP="00881DFC" w14:paraId="01F5ECE1" w14:textId="77777777">
      <w:pPr>
        <w:pStyle w:val="FootnoteText"/>
      </w:pPr>
      <w:r w:rsidRPr="00494AF2">
        <w:rPr>
          <w:rStyle w:val="FootnoteReference"/>
          <w:vertAlign w:val="superscript"/>
        </w:rPr>
        <w:footnoteRef/>
      </w:r>
      <w:r>
        <w:t xml:space="preserve"> </w:t>
      </w:r>
      <w:r w:rsidRPr="004E291F">
        <w:t xml:space="preserve">5 U.S.C. § </w:t>
      </w:r>
      <w:r w:rsidRPr="004E291F">
        <w:t>552a(</w:t>
      </w:r>
      <w:r w:rsidRPr="004E291F">
        <w:t>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F47" w14:paraId="3A50E4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35551AD5"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F47" w14:paraId="557FF4E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FC"/>
    <w:rsid w:val="0008268D"/>
    <w:rsid w:val="000B57F7"/>
    <w:rsid w:val="000D3C43"/>
    <w:rsid w:val="00130B04"/>
    <w:rsid w:val="0018140D"/>
    <w:rsid w:val="001B6C27"/>
    <w:rsid w:val="00273357"/>
    <w:rsid w:val="002C1A8A"/>
    <w:rsid w:val="002D1D2E"/>
    <w:rsid w:val="00324F4D"/>
    <w:rsid w:val="0036254F"/>
    <w:rsid w:val="0037087C"/>
    <w:rsid w:val="003725FD"/>
    <w:rsid w:val="003F515A"/>
    <w:rsid w:val="0045157F"/>
    <w:rsid w:val="004A5F47"/>
    <w:rsid w:val="004E291F"/>
    <w:rsid w:val="005104AD"/>
    <w:rsid w:val="005B5930"/>
    <w:rsid w:val="00602BFF"/>
    <w:rsid w:val="00632173"/>
    <w:rsid w:val="006644DA"/>
    <w:rsid w:val="006E7A47"/>
    <w:rsid w:val="00746748"/>
    <w:rsid w:val="007D3EFB"/>
    <w:rsid w:val="007E262C"/>
    <w:rsid w:val="00881DFC"/>
    <w:rsid w:val="008C16BE"/>
    <w:rsid w:val="008C4826"/>
    <w:rsid w:val="008E7A5B"/>
    <w:rsid w:val="008F6E33"/>
    <w:rsid w:val="009A05FB"/>
    <w:rsid w:val="009A1231"/>
    <w:rsid w:val="00A773D1"/>
    <w:rsid w:val="00B01963"/>
    <w:rsid w:val="00B064E3"/>
    <w:rsid w:val="00B3545A"/>
    <w:rsid w:val="00B4259C"/>
    <w:rsid w:val="00B86C2D"/>
    <w:rsid w:val="00BB2353"/>
    <w:rsid w:val="00C33D76"/>
    <w:rsid w:val="00C91776"/>
    <w:rsid w:val="00C959B8"/>
    <w:rsid w:val="00D1030A"/>
    <w:rsid w:val="00D655E9"/>
    <w:rsid w:val="00DE4504"/>
    <w:rsid w:val="00DF09E2"/>
    <w:rsid w:val="00E50DEF"/>
    <w:rsid w:val="00EA155C"/>
    <w:rsid w:val="00EB6086"/>
    <w:rsid w:val="00EF05ED"/>
    <w:rsid w:val="00EF62FD"/>
    <w:rsid w:val="00F1583C"/>
    <w:rsid w:val="00F80ABB"/>
    <w:rsid w:val="00FA17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F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1DFC"/>
  </w:style>
  <w:style w:type="paragraph" w:styleId="Header">
    <w:name w:val="header"/>
    <w:basedOn w:val="Normal"/>
    <w:link w:val="HeaderChar"/>
    <w:rsid w:val="00881DFC"/>
    <w:pPr>
      <w:tabs>
        <w:tab w:val="center" w:pos="4320"/>
        <w:tab w:val="right" w:pos="8640"/>
      </w:tabs>
    </w:pPr>
  </w:style>
  <w:style w:type="character" w:customStyle="1" w:styleId="HeaderChar">
    <w:name w:val="Header Char"/>
    <w:basedOn w:val="DefaultParagraphFont"/>
    <w:link w:val="Header"/>
    <w:rsid w:val="00881DFC"/>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881DFC"/>
    <w:pPr>
      <w:widowControl/>
    </w:pPr>
    <w:rPr>
      <w:snapToGrid/>
      <w:sz w:val="20"/>
    </w:rPr>
  </w:style>
  <w:style w:type="character" w:customStyle="1" w:styleId="FootnoteTextChar">
    <w:name w:val="Footnote Text Char"/>
    <w:basedOn w:val="DefaultParagraphFont"/>
    <w:link w:val="FootnoteText"/>
    <w:semiHidden/>
    <w:rsid w:val="00881DFC"/>
    <w:rPr>
      <w:rFonts w:ascii="Times New Roman" w:eastAsia="Times New Roman" w:hAnsi="Times New Roman" w:cs="Times New Roman"/>
      <w:sz w:val="20"/>
      <w:szCs w:val="20"/>
    </w:rPr>
  </w:style>
  <w:style w:type="paragraph" w:customStyle="1" w:styleId="Default">
    <w:name w:val="Default"/>
    <w:rsid w:val="00881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8E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30"/>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46748"/>
    <w:rPr>
      <w:sz w:val="16"/>
      <w:szCs w:val="16"/>
    </w:rPr>
  </w:style>
  <w:style w:type="paragraph" w:styleId="CommentText">
    <w:name w:val="annotation text"/>
    <w:basedOn w:val="Normal"/>
    <w:link w:val="CommentTextChar"/>
    <w:uiPriority w:val="99"/>
    <w:semiHidden/>
    <w:unhideWhenUsed/>
    <w:rsid w:val="00746748"/>
    <w:rPr>
      <w:sz w:val="20"/>
    </w:rPr>
  </w:style>
  <w:style w:type="character" w:customStyle="1" w:styleId="CommentTextChar">
    <w:name w:val="Comment Text Char"/>
    <w:basedOn w:val="DefaultParagraphFont"/>
    <w:link w:val="CommentText"/>
    <w:uiPriority w:val="99"/>
    <w:semiHidden/>
    <w:rsid w:val="0074674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46748"/>
    <w:rPr>
      <w:b/>
      <w:bCs/>
    </w:rPr>
  </w:style>
  <w:style w:type="character" w:customStyle="1" w:styleId="CommentSubjectChar">
    <w:name w:val="Comment Subject Char"/>
    <w:basedOn w:val="CommentTextChar"/>
    <w:link w:val="CommentSubject"/>
    <w:uiPriority w:val="99"/>
    <w:semiHidden/>
    <w:rsid w:val="00746748"/>
    <w:rPr>
      <w:rFonts w:ascii="Times New Roman" w:eastAsia="Times New Roman" w:hAnsi="Times New Roman" w:cs="Times New Roman"/>
      <w:b/>
      <w:bCs/>
      <w:snapToGrid w:val="0"/>
      <w:sz w:val="20"/>
      <w:szCs w:val="20"/>
    </w:rPr>
  </w:style>
  <w:style w:type="paragraph" w:styleId="Footer">
    <w:name w:val="footer"/>
    <w:basedOn w:val="Normal"/>
    <w:link w:val="FooterChar"/>
    <w:uiPriority w:val="99"/>
    <w:unhideWhenUsed/>
    <w:rsid w:val="004A5F47"/>
    <w:pPr>
      <w:tabs>
        <w:tab w:val="center" w:pos="4680"/>
        <w:tab w:val="right" w:pos="9360"/>
      </w:tabs>
    </w:pPr>
  </w:style>
  <w:style w:type="character" w:customStyle="1" w:styleId="FooterChar">
    <w:name w:val="Footer Char"/>
    <w:basedOn w:val="DefaultParagraphFont"/>
    <w:link w:val="Footer"/>
    <w:uiPriority w:val="99"/>
    <w:rsid w:val="004A5F4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