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Ind w:w="90" w:type="dxa"/>
        <w:tblLook w:val="0000"/>
      </w:tblPr>
      <w:tblGrid>
        <w:gridCol w:w="8550"/>
      </w:tblGrid>
      <w:tr w:rsidTr="00AD4FC0">
        <w:tblPrEx>
          <w:tblW w:w="0" w:type="auto"/>
          <w:tblInd w:w="90" w:type="dxa"/>
          <w:tblLook w:val="0000"/>
        </w:tblPrEx>
        <w:trPr>
          <w:trHeight w:val="2181"/>
        </w:trPr>
        <w:tc>
          <w:tcPr>
            <w:tcW w:w="8550" w:type="dxa"/>
          </w:tcPr>
          <w:p w:rsidR="00FF232D" w:rsidRPr="00781C35" w:rsidP="006A7D75">
            <w:pPr>
              <w:jc w:val="center"/>
            </w:pPr>
            <w:bookmarkStart w:id="0" w:name="_GoBack"/>
            <w:bookmarkEnd w:id="0"/>
            <w:r w:rsidRPr="00781C35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3868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81C35" w:rsidP="00B57131">
            <w:pPr>
              <w:rPr>
                <w:bCs/>
                <w:sz w:val="12"/>
                <w:szCs w:val="12"/>
              </w:rPr>
            </w:pPr>
          </w:p>
          <w:p w:rsidR="007A44F8" w:rsidRPr="00BB4124" w:rsidP="00BB4E29">
            <w:pPr>
              <w:rPr>
                <w:b/>
                <w:bCs/>
                <w:sz w:val="22"/>
                <w:szCs w:val="22"/>
              </w:rPr>
            </w:pPr>
            <w:r w:rsidRPr="00BB4124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781C3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781C35">
              <w:rPr>
                <w:bCs/>
                <w:sz w:val="22"/>
                <w:szCs w:val="22"/>
              </w:rPr>
              <w:t xml:space="preserve">, </w:t>
            </w:r>
            <w:r w:rsidRPr="00781C35" w:rsidR="00AC0A38">
              <w:rPr>
                <w:bCs/>
                <w:sz w:val="22"/>
                <w:szCs w:val="22"/>
              </w:rPr>
              <w:t>(</w:t>
            </w:r>
            <w:r w:rsidRPr="00781C35">
              <w:rPr>
                <w:bCs/>
                <w:sz w:val="22"/>
                <w:szCs w:val="22"/>
              </w:rPr>
              <w:t>202</w:t>
            </w:r>
            <w:r w:rsidRPr="00781C35" w:rsidR="00AC0A38">
              <w:rPr>
                <w:bCs/>
                <w:sz w:val="22"/>
                <w:szCs w:val="22"/>
              </w:rPr>
              <w:t xml:space="preserve">) </w:t>
            </w:r>
            <w:r w:rsidRPr="00781C35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781C3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781C35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781C35" w:rsidP="00BB4E29">
            <w:pPr>
              <w:rPr>
                <w:bCs/>
                <w:sz w:val="22"/>
                <w:szCs w:val="22"/>
              </w:rPr>
            </w:pPr>
          </w:p>
          <w:p w:rsidR="007A44F8" w:rsidRPr="00BB4124" w:rsidP="00BB4E29">
            <w:pPr>
              <w:rPr>
                <w:b/>
                <w:sz w:val="22"/>
                <w:szCs w:val="22"/>
              </w:rPr>
            </w:pPr>
            <w:r w:rsidRPr="00BB4124">
              <w:rPr>
                <w:b/>
                <w:sz w:val="22"/>
                <w:szCs w:val="22"/>
              </w:rPr>
              <w:t>For Immediate Release</w:t>
            </w:r>
          </w:p>
          <w:p w:rsidR="007A44F8" w:rsidRPr="00781C35" w:rsidP="00BB4E29">
            <w:pPr>
              <w:jc w:val="center"/>
              <w:rPr>
                <w:bCs/>
                <w:sz w:val="22"/>
                <w:szCs w:val="22"/>
              </w:rPr>
            </w:pPr>
          </w:p>
          <w:p w:rsidR="000E049E" w:rsidRPr="00781C35" w:rsidP="00D861EE">
            <w:pPr>
              <w:tabs>
                <w:tab w:val="left" w:pos="8625"/>
              </w:tabs>
              <w:spacing w:after="120"/>
              <w:jc w:val="center"/>
              <w:rPr>
                <w:bCs/>
                <w:sz w:val="26"/>
                <w:szCs w:val="26"/>
              </w:rPr>
            </w:pPr>
            <w:bookmarkStart w:id="1" w:name="_Hlk970825"/>
            <w:r>
              <w:rPr>
                <w:b/>
                <w:bCs/>
                <w:sz w:val="26"/>
                <w:szCs w:val="26"/>
              </w:rPr>
              <w:t>FCC TAKES NEXT STEP TOWARD EXPANDING BROADBAND SERVICE TO OVER 713,000 RURAL HOMES AND BUSINESSES</w:t>
            </w:r>
          </w:p>
          <w:bookmarkEnd w:id="1"/>
          <w:p w:rsidR="00CC5E08" w:rsidRPr="00781C35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Establishes Transition To Connect America Fund Auction Winners</w:t>
            </w:r>
          </w:p>
          <w:p w:rsidR="00F61155" w:rsidRPr="00781C35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781C35">
              <w:rPr>
                <w:bCs/>
                <w:i/>
                <w:sz w:val="28"/>
                <w:szCs w:val="32"/>
              </w:rPr>
              <w:t xml:space="preserve">  </w:t>
            </w:r>
            <w:r w:rsidRPr="00781C35">
              <w:rPr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781C35" w:rsidR="00347716">
              <w:rPr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74B65" w:rsidRPr="00781C35" w:rsidP="00D6769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81C35">
              <w:rPr>
                <w:sz w:val="22"/>
                <w:szCs w:val="22"/>
              </w:rPr>
              <w:t xml:space="preserve">WASHINGTON, </w:t>
            </w:r>
            <w:r w:rsidRPr="00781C35" w:rsidR="00D67693">
              <w:rPr>
                <w:sz w:val="22"/>
                <w:szCs w:val="22"/>
              </w:rPr>
              <w:t>February 14, 2019</w:t>
            </w:r>
            <w:r w:rsidRPr="00781C35" w:rsidR="00D861EE">
              <w:rPr>
                <w:sz w:val="22"/>
                <w:szCs w:val="22"/>
              </w:rPr>
              <w:t>—</w:t>
            </w:r>
            <w:r w:rsidRPr="00781C35" w:rsidR="000E049E">
              <w:rPr>
                <w:sz w:val="22"/>
                <w:szCs w:val="22"/>
              </w:rPr>
              <w:t>The Federal Communications Commission t</w:t>
            </w:r>
            <w:r w:rsidRPr="00781C35" w:rsidR="00AD4FC0">
              <w:rPr>
                <w:sz w:val="22"/>
                <w:szCs w:val="22"/>
              </w:rPr>
              <w:t xml:space="preserve">oday took the </w:t>
            </w:r>
            <w:r w:rsidRPr="00781C35">
              <w:rPr>
                <w:sz w:val="22"/>
                <w:szCs w:val="22"/>
              </w:rPr>
              <w:t xml:space="preserve">next step toward </w:t>
            </w:r>
            <w:r w:rsidR="001D441B">
              <w:rPr>
                <w:sz w:val="22"/>
                <w:szCs w:val="22"/>
              </w:rPr>
              <w:t xml:space="preserve">expanding </w:t>
            </w:r>
            <w:r w:rsidRPr="00781C35">
              <w:rPr>
                <w:sz w:val="22"/>
                <w:szCs w:val="22"/>
              </w:rPr>
              <w:t xml:space="preserve">broadband </w:t>
            </w:r>
            <w:r w:rsidR="001D441B">
              <w:rPr>
                <w:sz w:val="22"/>
                <w:szCs w:val="22"/>
              </w:rPr>
              <w:t xml:space="preserve">service </w:t>
            </w:r>
            <w:r w:rsidRPr="00781C35">
              <w:rPr>
                <w:sz w:val="22"/>
                <w:szCs w:val="22"/>
              </w:rPr>
              <w:t xml:space="preserve">to </w:t>
            </w:r>
            <w:r w:rsidRPr="00781C35" w:rsidR="00AD4FC0">
              <w:rPr>
                <w:sz w:val="22"/>
                <w:szCs w:val="22"/>
              </w:rPr>
              <w:t xml:space="preserve">over </w:t>
            </w:r>
            <w:r w:rsidRPr="00781C35">
              <w:rPr>
                <w:sz w:val="22"/>
                <w:szCs w:val="22"/>
              </w:rPr>
              <w:t>713,</w:t>
            </w:r>
            <w:r w:rsidRPr="00781C35" w:rsidR="00AD4FC0">
              <w:rPr>
                <w:sz w:val="22"/>
                <w:szCs w:val="22"/>
              </w:rPr>
              <w:t>000</w:t>
            </w:r>
            <w:r w:rsidRPr="00781C35">
              <w:rPr>
                <w:sz w:val="22"/>
                <w:szCs w:val="22"/>
              </w:rPr>
              <w:t xml:space="preserve"> rural homes </w:t>
            </w:r>
            <w:r w:rsidR="001D441B">
              <w:rPr>
                <w:sz w:val="22"/>
                <w:szCs w:val="22"/>
              </w:rPr>
              <w:t xml:space="preserve">and </w:t>
            </w:r>
            <w:r w:rsidRPr="00781C35">
              <w:rPr>
                <w:sz w:val="22"/>
                <w:szCs w:val="22"/>
              </w:rPr>
              <w:t xml:space="preserve">businesses in 45 states </w:t>
            </w:r>
            <w:r w:rsidR="001D441B">
              <w:rPr>
                <w:sz w:val="22"/>
                <w:szCs w:val="22"/>
              </w:rPr>
              <w:t xml:space="preserve">supported </w:t>
            </w:r>
            <w:r w:rsidRPr="00781C35">
              <w:rPr>
                <w:sz w:val="22"/>
                <w:szCs w:val="22"/>
              </w:rPr>
              <w:t>by the successful Connect America Fund Phase II Auction.</w:t>
            </w:r>
          </w:p>
          <w:p w:rsidR="00AD4FC0" w:rsidRPr="00781C35" w:rsidP="00D6769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176F6" w:rsidRPr="00781C3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81C35">
              <w:rPr>
                <w:sz w:val="22"/>
                <w:szCs w:val="22"/>
              </w:rPr>
              <w:t>A</w:t>
            </w:r>
            <w:r w:rsidRPr="00781C35">
              <w:rPr>
                <w:sz w:val="22"/>
                <w:szCs w:val="22"/>
              </w:rPr>
              <w:t xml:space="preserve"> Report and </w:t>
            </w:r>
            <w:r w:rsidRPr="00781C35">
              <w:rPr>
                <w:sz w:val="22"/>
                <w:szCs w:val="22"/>
              </w:rPr>
              <w:t>Order adopted by the Commission set</w:t>
            </w:r>
            <w:r w:rsidRPr="00781C35" w:rsidR="00E74B65">
              <w:rPr>
                <w:sz w:val="22"/>
                <w:szCs w:val="22"/>
              </w:rPr>
              <w:t>s the rules of the road for the upcoming transition between legacy Connect America Fund support</w:t>
            </w:r>
            <w:r w:rsidR="003A3A2B">
              <w:rPr>
                <w:sz w:val="22"/>
                <w:szCs w:val="22"/>
              </w:rPr>
              <w:t xml:space="preserve"> in </w:t>
            </w:r>
            <w:r w:rsidR="00E755A7">
              <w:rPr>
                <w:sz w:val="22"/>
                <w:szCs w:val="22"/>
              </w:rPr>
              <w:t>certain</w:t>
            </w:r>
            <w:r w:rsidR="003A3A2B">
              <w:rPr>
                <w:sz w:val="22"/>
                <w:szCs w:val="22"/>
              </w:rPr>
              <w:t xml:space="preserve"> price cap areas</w:t>
            </w:r>
            <w:r w:rsidRPr="00781C35" w:rsidR="00E74B65">
              <w:rPr>
                <w:sz w:val="22"/>
                <w:szCs w:val="22"/>
              </w:rPr>
              <w:t>, and new, auction-based</w:t>
            </w:r>
            <w:r w:rsidRPr="00781C35">
              <w:rPr>
                <w:sz w:val="22"/>
                <w:szCs w:val="22"/>
              </w:rPr>
              <w:t xml:space="preserve"> support for voice and broadband. </w:t>
            </w:r>
            <w:r w:rsidR="00692973">
              <w:rPr>
                <w:sz w:val="22"/>
                <w:szCs w:val="22"/>
              </w:rPr>
              <w:t xml:space="preserve"> </w:t>
            </w:r>
            <w:r w:rsidRPr="00781C35" w:rsidR="00C335F9">
              <w:rPr>
                <w:sz w:val="22"/>
                <w:szCs w:val="22"/>
              </w:rPr>
              <w:t>The Connect America Fund (CAF) Phase II Auction</w:t>
            </w:r>
            <w:r w:rsidRPr="00781C35" w:rsidR="004966BD">
              <w:rPr>
                <w:sz w:val="22"/>
                <w:szCs w:val="22"/>
              </w:rPr>
              <w:t xml:space="preserve">, which </w:t>
            </w:r>
            <w:r w:rsidRPr="00781C35" w:rsidR="00CF2FE2">
              <w:rPr>
                <w:sz w:val="22"/>
                <w:szCs w:val="22"/>
              </w:rPr>
              <w:t>closed</w:t>
            </w:r>
            <w:r w:rsidRPr="00781C35">
              <w:rPr>
                <w:sz w:val="22"/>
                <w:szCs w:val="22"/>
              </w:rPr>
              <w:t xml:space="preserve"> in August of 2018, </w:t>
            </w:r>
            <w:r w:rsidRPr="00781C35" w:rsidR="00C335F9">
              <w:rPr>
                <w:sz w:val="22"/>
                <w:szCs w:val="22"/>
              </w:rPr>
              <w:t>allocate</w:t>
            </w:r>
            <w:r w:rsidR="00781C35">
              <w:rPr>
                <w:sz w:val="22"/>
                <w:szCs w:val="22"/>
              </w:rPr>
              <w:t>d</w:t>
            </w:r>
            <w:r w:rsidRPr="00781C35" w:rsidR="00C335F9">
              <w:rPr>
                <w:sz w:val="22"/>
                <w:szCs w:val="22"/>
              </w:rPr>
              <w:t xml:space="preserve"> nearly $1.5 billion in support </w:t>
            </w:r>
            <w:r w:rsidRPr="00781C35" w:rsidR="004966BD">
              <w:rPr>
                <w:sz w:val="22"/>
                <w:szCs w:val="22"/>
              </w:rPr>
              <w:t xml:space="preserve">for broadband </w:t>
            </w:r>
            <w:r w:rsidRPr="00781C35" w:rsidR="00C335F9">
              <w:rPr>
                <w:sz w:val="22"/>
                <w:szCs w:val="22"/>
              </w:rPr>
              <w:t>in rural areas</w:t>
            </w:r>
            <w:r w:rsidR="00D63680">
              <w:rPr>
                <w:sz w:val="22"/>
                <w:szCs w:val="22"/>
              </w:rPr>
              <w:t xml:space="preserve"> currently lacking it</w:t>
            </w:r>
            <w:r w:rsidRPr="00781C35" w:rsidR="004966BD">
              <w:rPr>
                <w:sz w:val="22"/>
                <w:szCs w:val="22"/>
              </w:rPr>
              <w:t xml:space="preserve">.  The funds are targeted to areas </w:t>
            </w:r>
            <w:r w:rsidRPr="00781C35" w:rsidR="00C335F9">
              <w:rPr>
                <w:sz w:val="22"/>
                <w:szCs w:val="22"/>
              </w:rPr>
              <w:t xml:space="preserve">where the incumbent </w:t>
            </w:r>
            <w:r w:rsidRPr="00781C35" w:rsidR="004966BD">
              <w:rPr>
                <w:sz w:val="22"/>
                <w:szCs w:val="22"/>
              </w:rPr>
              <w:t>provider</w:t>
            </w:r>
            <w:r w:rsidR="00DA2A41">
              <w:rPr>
                <w:sz w:val="22"/>
                <w:szCs w:val="22"/>
              </w:rPr>
              <w:t>—</w:t>
            </w:r>
            <w:r w:rsidRPr="00781C35" w:rsidR="00C335F9">
              <w:rPr>
                <w:sz w:val="22"/>
                <w:szCs w:val="22"/>
              </w:rPr>
              <w:t>large carriers known as known as price cap carriers</w:t>
            </w:r>
            <w:r w:rsidR="00DA2A41">
              <w:rPr>
                <w:sz w:val="22"/>
                <w:szCs w:val="22"/>
              </w:rPr>
              <w:t>—</w:t>
            </w:r>
            <w:r w:rsidRPr="00781C35" w:rsidR="00C335F9">
              <w:rPr>
                <w:sz w:val="22"/>
                <w:szCs w:val="22"/>
              </w:rPr>
              <w:t>declined a 2015</w:t>
            </w:r>
            <w:r w:rsidR="00692973">
              <w:rPr>
                <w:sz w:val="22"/>
                <w:szCs w:val="22"/>
              </w:rPr>
              <w:t xml:space="preserve"> offer of</w:t>
            </w:r>
            <w:r w:rsidRPr="00781C35" w:rsidR="00C335F9">
              <w:rPr>
                <w:sz w:val="22"/>
                <w:szCs w:val="22"/>
              </w:rPr>
              <w:t xml:space="preserve"> CAF </w:t>
            </w:r>
            <w:r w:rsidRPr="00781C35">
              <w:rPr>
                <w:sz w:val="22"/>
                <w:szCs w:val="22"/>
              </w:rPr>
              <w:t xml:space="preserve">Phase II </w:t>
            </w:r>
            <w:r w:rsidR="00692973">
              <w:rPr>
                <w:sz w:val="22"/>
                <w:szCs w:val="22"/>
              </w:rPr>
              <w:t xml:space="preserve">model-based </w:t>
            </w:r>
            <w:r w:rsidRPr="00781C35" w:rsidR="00C335F9">
              <w:rPr>
                <w:sz w:val="22"/>
                <w:szCs w:val="22"/>
              </w:rPr>
              <w:t>support</w:t>
            </w:r>
            <w:r w:rsidRPr="00781C35" w:rsidR="004966BD">
              <w:rPr>
                <w:sz w:val="22"/>
                <w:szCs w:val="22"/>
              </w:rPr>
              <w:t>.</w:t>
            </w:r>
          </w:p>
          <w:p w:rsidR="0069297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176F6" w:rsidRPr="00781C3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81C35">
              <w:rPr>
                <w:sz w:val="22"/>
                <w:szCs w:val="22"/>
              </w:rPr>
              <w:t>The Order provides clarity and certainty to providers during this transition, while ensur</w:t>
            </w:r>
            <w:r>
              <w:rPr>
                <w:sz w:val="22"/>
                <w:szCs w:val="22"/>
              </w:rPr>
              <w:t>ing</w:t>
            </w:r>
            <w:r w:rsidRPr="00781C35">
              <w:rPr>
                <w:sz w:val="22"/>
                <w:szCs w:val="22"/>
              </w:rPr>
              <w:t xml:space="preserve"> that existing voice service is maintained throughout the process for customers.</w:t>
            </w:r>
            <w:r>
              <w:rPr>
                <w:sz w:val="22"/>
                <w:szCs w:val="22"/>
              </w:rPr>
              <w:t xml:space="preserve">  </w:t>
            </w:r>
            <w:r w:rsidR="00781C35">
              <w:rPr>
                <w:sz w:val="22"/>
                <w:szCs w:val="22"/>
              </w:rPr>
              <w:t xml:space="preserve">To ensure a </w:t>
            </w:r>
            <w:r w:rsidRPr="00781C35">
              <w:rPr>
                <w:sz w:val="22"/>
                <w:szCs w:val="22"/>
              </w:rPr>
              <w:t>seamless</w:t>
            </w:r>
            <w:r w:rsidRPr="00781C35" w:rsidR="004966BD">
              <w:rPr>
                <w:sz w:val="22"/>
                <w:szCs w:val="22"/>
              </w:rPr>
              <w:t xml:space="preserve"> </w:t>
            </w:r>
            <w:r w:rsidRPr="00781C35">
              <w:rPr>
                <w:sz w:val="22"/>
                <w:szCs w:val="22"/>
              </w:rPr>
              <w:t xml:space="preserve">transition </w:t>
            </w:r>
            <w:r w:rsidRPr="00781C35" w:rsidR="004966BD">
              <w:rPr>
                <w:sz w:val="22"/>
                <w:szCs w:val="22"/>
              </w:rPr>
              <w:t>and protect program</w:t>
            </w:r>
            <w:r w:rsidR="00DA2A41">
              <w:rPr>
                <w:sz w:val="22"/>
                <w:szCs w:val="22"/>
              </w:rPr>
              <w:t xml:space="preserve"> resources</w:t>
            </w:r>
            <w:r w:rsidR="00781C35">
              <w:rPr>
                <w:sz w:val="22"/>
                <w:szCs w:val="22"/>
              </w:rPr>
              <w:t>, the Order does the following:</w:t>
            </w:r>
          </w:p>
          <w:p w:rsidR="000176F6" w:rsidRPr="00781C3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A2A41" w:rsidP="00DA2A4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Where the price cap carrier bid in the auction and won, </w:t>
            </w:r>
            <w:r w:rsidR="00781C35">
              <w:rPr>
                <w:rFonts w:eastAsiaTheme="minorEastAsia"/>
                <w:bCs/>
                <w:sz w:val="22"/>
                <w:szCs w:val="22"/>
              </w:rPr>
              <w:t xml:space="preserve">legacy support </w:t>
            </w:r>
            <w:r w:rsidR="004E5533">
              <w:rPr>
                <w:rFonts w:eastAsiaTheme="minorEastAsia"/>
                <w:bCs/>
                <w:sz w:val="22"/>
                <w:szCs w:val="22"/>
              </w:rPr>
              <w:t xml:space="preserve">is converted </w:t>
            </w:r>
            <w:r w:rsidR="00781C35">
              <w:rPr>
                <w:rFonts w:eastAsiaTheme="minorEastAsia"/>
                <w:bCs/>
                <w:sz w:val="22"/>
                <w:szCs w:val="22"/>
              </w:rPr>
              <w:t xml:space="preserve">to 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>auction-based support</w:t>
            </w:r>
            <w:r w:rsidR="00781C35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>when Phase II support is authorized</w:t>
            </w:r>
            <w:r w:rsidR="00692973">
              <w:rPr>
                <w:rFonts w:eastAsiaTheme="minorEastAsia"/>
                <w:bCs/>
                <w:sz w:val="22"/>
                <w:szCs w:val="22"/>
              </w:rPr>
              <w:t xml:space="preserve"> in that area</w:t>
            </w:r>
            <w:r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4F0E31" w:rsidP="00DA2A4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Theme="minorEastAsia"/>
                <w:bCs/>
                <w:sz w:val="22"/>
                <w:szCs w:val="22"/>
              </w:rPr>
            </w:pPr>
            <w:r w:rsidRPr="00781C35">
              <w:rPr>
                <w:rFonts w:eastAsiaTheme="minorEastAsia"/>
                <w:bCs/>
                <w:sz w:val="22"/>
                <w:szCs w:val="22"/>
              </w:rPr>
              <w:t xml:space="preserve">In areas where a carrier other than the incumbent price cap carrier won in the auction, legacy support </w:t>
            </w:r>
            <w:r w:rsidR="00DA2A41">
              <w:rPr>
                <w:rFonts w:eastAsiaTheme="minorEastAsia"/>
                <w:bCs/>
                <w:sz w:val="22"/>
                <w:szCs w:val="22"/>
              </w:rPr>
              <w:t xml:space="preserve">to the price cap carrier </w:t>
            </w:r>
            <w:r w:rsidRPr="00781C35">
              <w:rPr>
                <w:rFonts w:eastAsiaTheme="minorEastAsia"/>
                <w:bCs/>
                <w:sz w:val="22"/>
                <w:szCs w:val="22"/>
              </w:rPr>
              <w:t xml:space="preserve">ceases 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>when Phase II support for that winning bidder is authorized</w:t>
            </w:r>
            <w:r w:rsidR="00692973">
              <w:rPr>
                <w:rFonts w:eastAsiaTheme="minorEastAsia"/>
                <w:bCs/>
                <w:sz w:val="22"/>
                <w:szCs w:val="22"/>
              </w:rPr>
              <w:t xml:space="preserve"> in that area</w:t>
            </w:r>
            <w:r w:rsidRPr="00781C35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C05DFE" w:rsidP="00DF314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Theme="minorEastAsia"/>
                <w:bCs/>
                <w:sz w:val="22"/>
                <w:szCs w:val="22"/>
              </w:rPr>
            </w:pPr>
            <w:r w:rsidRPr="00C05DFE">
              <w:rPr>
                <w:rFonts w:eastAsiaTheme="minorEastAsia"/>
                <w:bCs/>
                <w:sz w:val="22"/>
                <w:szCs w:val="22"/>
              </w:rPr>
              <w:t>In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 xml:space="preserve"> auction-eligible</w:t>
            </w:r>
            <w:r w:rsidRPr="00C05DFE">
              <w:rPr>
                <w:rFonts w:eastAsiaTheme="minorEastAsia"/>
                <w:bCs/>
                <w:sz w:val="22"/>
                <w:szCs w:val="22"/>
              </w:rPr>
              <w:t xml:space="preserve"> areas 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>with</w:t>
            </w:r>
            <w:r w:rsidRPr="00C05DFE">
              <w:rPr>
                <w:rFonts w:eastAsiaTheme="minorEastAsia"/>
                <w:bCs/>
                <w:sz w:val="22"/>
                <w:szCs w:val="22"/>
              </w:rPr>
              <w:t xml:space="preserve"> no </w:t>
            </w:r>
            <w:r w:rsidR="005B58BA">
              <w:rPr>
                <w:rFonts w:eastAsiaTheme="minorEastAsia"/>
                <w:bCs/>
                <w:sz w:val="22"/>
                <w:szCs w:val="22"/>
              </w:rPr>
              <w:t>winning bidder</w:t>
            </w:r>
            <w:r w:rsidRPr="00C05DFE">
              <w:rPr>
                <w:rFonts w:eastAsiaTheme="minorEastAsia"/>
                <w:bCs/>
                <w:sz w:val="22"/>
                <w:szCs w:val="22"/>
              </w:rPr>
              <w:t>,</w:t>
            </w:r>
            <w:r w:rsidR="003A3A2B">
              <w:rPr>
                <w:rFonts w:eastAsiaTheme="minorEastAsia"/>
                <w:bCs/>
                <w:sz w:val="22"/>
                <w:szCs w:val="22"/>
              </w:rPr>
              <w:t xml:space="preserve"> interim </w:t>
            </w:r>
            <w:r w:rsidRPr="00C05DFE">
              <w:rPr>
                <w:rFonts w:eastAsiaTheme="minorEastAsia"/>
                <w:bCs/>
                <w:sz w:val="22"/>
                <w:szCs w:val="22"/>
              </w:rPr>
              <w:t>legacy support for existing price cap carriers will continue until further Commission action.</w:t>
            </w:r>
            <w:r w:rsidRPr="00C05DFE" w:rsidR="0044155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  <w:p w:rsidR="004F0E31" w:rsidRPr="00C05DFE" w:rsidP="00DF314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Theme="minorEastAsia"/>
                <w:bCs/>
                <w:sz w:val="22"/>
                <w:szCs w:val="22"/>
              </w:rPr>
            </w:pPr>
            <w:r w:rsidRPr="00C05DFE">
              <w:rPr>
                <w:rFonts w:eastAsiaTheme="minorEastAsia"/>
                <w:bCs/>
                <w:sz w:val="22"/>
                <w:szCs w:val="22"/>
              </w:rPr>
              <w:t xml:space="preserve">In areas that were ineligible for the auction, legacy support ceases </w:t>
            </w:r>
            <w:r w:rsidR="009450BD">
              <w:rPr>
                <w:rFonts w:eastAsiaTheme="minorEastAsia"/>
                <w:bCs/>
                <w:sz w:val="22"/>
                <w:szCs w:val="22"/>
              </w:rPr>
              <w:t>when</w:t>
            </w:r>
            <w:r w:rsidRPr="00C05DFE">
              <w:rPr>
                <w:rFonts w:eastAsiaTheme="minorEastAsia"/>
                <w:bCs/>
                <w:sz w:val="22"/>
                <w:szCs w:val="22"/>
              </w:rPr>
              <w:t xml:space="preserve"> the first Phase II Auction support is authorized nationwide</w:t>
            </w:r>
            <w:r w:rsidR="009450BD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441552" w:rsidRPr="00F62417" w:rsidP="00664CF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Theme="minorEastAsia"/>
                <w:bCs/>
              </w:rPr>
            </w:pPr>
            <w:r w:rsidRPr="00F62417">
              <w:rPr>
                <w:rFonts w:eastAsiaTheme="minorEastAsia"/>
                <w:bCs/>
                <w:sz w:val="22"/>
                <w:szCs w:val="22"/>
              </w:rPr>
              <w:t xml:space="preserve">In areas where a competitive provider </w:t>
            </w:r>
            <w:r w:rsidR="00692973">
              <w:rPr>
                <w:rFonts w:eastAsiaTheme="minorEastAsia"/>
                <w:bCs/>
                <w:sz w:val="22"/>
                <w:szCs w:val="22"/>
              </w:rPr>
              <w:t>is receiving</w:t>
            </w:r>
            <w:r w:rsidRPr="00F62417" w:rsidR="00692973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62417" w:rsidR="009450BD">
              <w:rPr>
                <w:rFonts w:eastAsiaTheme="minorEastAsia"/>
                <w:bCs/>
                <w:sz w:val="22"/>
                <w:szCs w:val="22"/>
              </w:rPr>
              <w:t>legacy</w:t>
            </w:r>
            <w:r w:rsidRPr="00E755A7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E755A7" w:rsidR="00DA2A41">
              <w:rPr>
                <w:rFonts w:eastAsiaTheme="minorEastAsia"/>
                <w:bCs/>
                <w:sz w:val="22"/>
                <w:szCs w:val="22"/>
              </w:rPr>
              <w:t>support</w:t>
            </w:r>
            <w:r w:rsidR="009450BD">
              <w:rPr>
                <w:rFonts w:eastAsiaTheme="minorEastAsia"/>
                <w:bCs/>
                <w:sz w:val="22"/>
                <w:szCs w:val="22"/>
              </w:rPr>
              <w:t>, it will be phased down over two years.</w:t>
            </w:r>
          </w:p>
          <w:p w:rsidR="000176F6" w:rsidP="000176F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95829" w:rsidRPr="00B95829" w:rsidP="00B9582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B95829">
              <w:rPr>
                <w:sz w:val="22"/>
                <w:szCs w:val="22"/>
              </w:rPr>
              <w:t>Action by the Commission February 14, 2019 by Report and Order (FCC 19-</w:t>
            </w:r>
            <w:r>
              <w:rPr>
                <w:sz w:val="22"/>
                <w:szCs w:val="22"/>
              </w:rPr>
              <w:t>8</w:t>
            </w:r>
            <w:r w:rsidRPr="00B95829">
              <w:rPr>
                <w:sz w:val="22"/>
                <w:szCs w:val="22"/>
              </w:rPr>
              <w:t>).  Chairman Pai, Commissioners O’Rielly, Carr, Rosenworcel, and Starks approving</w:t>
            </w:r>
            <w:r>
              <w:rPr>
                <w:sz w:val="22"/>
                <w:szCs w:val="22"/>
              </w:rPr>
              <w:t xml:space="preserve"> and </w:t>
            </w:r>
            <w:r w:rsidRPr="00B95829">
              <w:rPr>
                <w:sz w:val="22"/>
                <w:szCs w:val="22"/>
              </w:rPr>
              <w:t>issuing separate statements.</w:t>
            </w:r>
          </w:p>
          <w:p w:rsidR="00B95829" w:rsidRPr="00B95829" w:rsidP="00B9582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95829" w:rsidP="00B9582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B95829">
              <w:rPr>
                <w:sz w:val="22"/>
                <w:szCs w:val="22"/>
              </w:rPr>
              <w:t>WC Docket No. 10-90</w:t>
            </w:r>
          </w:p>
          <w:p w:rsidR="00B95829" w:rsidRPr="00781C35" w:rsidP="000176F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781C35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81C35">
              <w:rPr>
                <w:sz w:val="22"/>
                <w:szCs w:val="22"/>
              </w:rPr>
              <w:t>###</w:t>
            </w:r>
          </w:p>
          <w:p w:rsidR="00E644FE" w:rsidRPr="009D0E4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781C35">
              <w:rPr>
                <w:bCs/>
                <w:sz w:val="22"/>
                <w:szCs w:val="22"/>
              </w:rPr>
              <w:br/>
            </w:r>
            <w:r w:rsidRPr="009D0E4C">
              <w:rPr>
                <w:b/>
                <w:bCs/>
                <w:sz w:val="18"/>
                <w:szCs w:val="18"/>
              </w:rPr>
              <w:t>Off</w:t>
            </w:r>
            <w:r w:rsidRPr="009D0E4C"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Pr="009D0E4C"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Pr="009D0E4C" w:rsidR="00AD0D19">
              <w:rPr>
                <w:b/>
                <w:bCs/>
                <w:sz w:val="18"/>
                <w:szCs w:val="18"/>
              </w:rPr>
              <w:t>418-</w:t>
            </w:r>
            <w:r w:rsidRPr="009D0E4C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9D0E4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D0E4C">
              <w:rPr>
                <w:b/>
                <w:bCs/>
                <w:sz w:val="18"/>
                <w:szCs w:val="18"/>
              </w:rPr>
              <w:t xml:space="preserve">ASL </w:t>
            </w:r>
            <w:r w:rsidRPr="009D0E4C"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9D0E4C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9D0E4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D0E4C">
              <w:rPr>
                <w:b/>
                <w:bCs/>
                <w:sz w:val="18"/>
                <w:szCs w:val="18"/>
              </w:rPr>
              <w:t xml:space="preserve">TTY: </w:t>
            </w:r>
            <w:r w:rsidRPr="009D0E4C"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9D0E4C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9D0E4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D0E4C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9D0E4C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9D0E4C">
              <w:rPr>
                <w:b/>
                <w:sz w:val="18"/>
                <w:szCs w:val="18"/>
              </w:rPr>
              <w:t>www.fcc.gov/media-relations</w:t>
            </w:r>
            <w:r w:rsidRPr="009D0E4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781C35" w:rsidP="00850E26">
            <w:pPr>
              <w:ind w:right="72"/>
              <w:jc w:val="center"/>
              <w:rPr>
                <w:bCs/>
                <w:sz w:val="18"/>
                <w:szCs w:val="18"/>
              </w:rPr>
            </w:pPr>
          </w:p>
          <w:p w:rsidR="00EE0E90" w:rsidRPr="00781C35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781C35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P="002024B4">
      <w:pPr>
        <w:rPr>
          <w:b/>
          <w:bCs/>
          <w:sz w:val="2"/>
          <w:szCs w:val="2"/>
        </w:rPr>
      </w:pPr>
    </w:p>
    <w:sectPr w:rsidSect="00B95829">
      <w:pgSz w:w="12240" w:h="15840"/>
      <w:pgMar w:top="63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E472E0"/>
    <w:multiLevelType w:val="hybridMultilevel"/>
    <w:tmpl w:val="B162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69B63EB"/>
    <w:multiLevelType w:val="hybridMultilevel"/>
    <w:tmpl w:val="6AA25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32E0"/>
    <w:multiLevelType w:val="hybridMultilevel"/>
    <w:tmpl w:val="41D03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65"/>
    <w:rsid w:val="000176F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441B"/>
    <w:rsid w:val="001F0469"/>
    <w:rsid w:val="002024B4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7E9B"/>
    <w:rsid w:val="002D03E5"/>
    <w:rsid w:val="002E3F1D"/>
    <w:rsid w:val="002F31D0"/>
    <w:rsid w:val="00300359"/>
    <w:rsid w:val="0031773E"/>
    <w:rsid w:val="00333871"/>
    <w:rsid w:val="00347716"/>
    <w:rsid w:val="003506E1"/>
    <w:rsid w:val="00352541"/>
    <w:rsid w:val="003727E3"/>
    <w:rsid w:val="00385A93"/>
    <w:rsid w:val="003910F1"/>
    <w:rsid w:val="003A3A2B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552"/>
    <w:rsid w:val="00441F59"/>
    <w:rsid w:val="00444E07"/>
    <w:rsid w:val="00444FA9"/>
    <w:rsid w:val="00473E9C"/>
    <w:rsid w:val="00480099"/>
    <w:rsid w:val="004966BD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5533"/>
    <w:rsid w:val="004F0E31"/>
    <w:rsid w:val="004F0F1F"/>
    <w:rsid w:val="005022AA"/>
    <w:rsid w:val="00504845"/>
    <w:rsid w:val="00505741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B58BA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4CFE"/>
    <w:rsid w:val="00665633"/>
    <w:rsid w:val="00674C86"/>
    <w:rsid w:val="0068015E"/>
    <w:rsid w:val="006861AB"/>
    <w:rsid w:val="00686B89"/>
    <w:rsid w:val="00692973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81C35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556B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7D11"/>
    <w:rsid w:val="009450BD"/>
    <w:rsid w:val="00961620"/>
    <w:rsid w:val="009734B6"/>
    <w:rsid w:val="00973FB3"/>
    <w:rsid w:val="0098096F"/>
    <w:rsid w:val="0098437A"/>
    <w:rsid w:val="00986C92"/>
    <w:rsid w:val="00993C47"/>
    <w:rsid w:val="009972BC"/>
    <w:rsid w:val="009B4B16"/>
    <w:rsid w:val="009D0E4C"/>
    <w:rsid w:val="009E1A94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FC0"/>
    <w:rsid w:val="00AF051B"/>
    <w:rsid w:val="00B037A2"/>
    <w:rsid w:val="00B159C5"/>
    <w:rsid w:val="00B31870"/>
    <w:rsid w:val="00B320B8"/>
    <w:rsid w:val="00B35EE2"/>
    <w:rsid w:val="00B36DEF"/>
    <w:rsid w:val="00B453F1"/>
    <w:rsid w:val="00B57131"/>
    <w:rsid w:val="00B62F2C"/>
    <w:rsid w:val="00B727C9"/>
    <w:rsid w:val="00B735C8"/>
    <w:rsid w:val="00B76A63"/>
    <w:rsid w:val="00B95829"/>
    <w:rsid w:val="00BA6350"/>
    <w:rsid w:val="00BB3A4F"/>
    <w:rsid w:val="00BB4124"/>
    <w:rsid w:val="00BB4E29"/>
    <w:rsid w:val="00BB74C9"/>
    <w:rsid w:val="00BC3AB6"/>
    <w:rsid w:val="00BD19E8"/>
    <w:rsid w:val="00BD4273"/>
    <w:rsid w:val="00C05DFE"/>
    <w:rsid w:val="00C335F9"/>
    <w:rsid w:val="00C432E4"/>
    <w:rsid w:val="00C70C26"/>
    <w:rsid w:val="00C72001"/>
    <w:rsid w:val="00C772B7"/>
    <w:rsid w:val="00C80347"/>
    <w:rsid w:val="00CB7C1A"/>
    <w:rsid w:val="00CC5E08"/>
    <w:rsid w:val="00CD3D64"/>
    <w:rsid w:val="00CE14FD"/>
    <w:rsid w:val="00CF2FE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680"/>
    <w:rsid w:val="00D67693"/>
    <w:rsid w:val="00D723F0"/>
    <w:rsid w:val="00D8133F"/>
    <w:rsid w:val="00D861EE"/>
    <w:rsid w:val="00D95B05"/>
    <w:rsid w:val="00D97E2D"/>
    <w:rsid w:val="00DA103D"/>
    <w:rsid w:val="00DA2A41"/>
    <w:rsid w:val="00DA45D3"/>
    <w:rsid w:val="00DA4772"/>
    <w:rsid w:val="00DA7B44"/>
    <w:rsid w:val="00DB2667"/>
    <w:rsid w:val="00DB67B7"/>
    <w:rsid w:val="00DC15A9"/>
    <w:rsid w:val="00DC40AA"/>
    <w:rsid w:val="00DD1750"/>
    <w:rsid w:val="00DF3146"/>
    <w:rsid w:val="00E20542"/>
    <w:rsid w:val="00E2238D"/>
    <w:rsid w:val="00E349AA"/>
    <w:rsid w:val="00E40287"/>
    <w:rsid w:val="00E41390"/>
    <w:rsid w:val="00E41CA0"/>
    <w:rsid w:val="00E4366B"/>
    <w:rsid w:val="00E50A4A"/>
    <w:rsid w:val="00E606DE"/>
    <w:rsid w:val="00E644FE"/>
    <w:rsid w:val="00E72733"/>
    <w:rsid w:val="00E742FA"/>
    <w:rsid w:val="00E74B65"/>
    <w:rsid w:val="00E755A7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15"/>
    <w:rsid w:val="00F16485"/>
    <w:rsid w:val="00F228ED"/>
    <w:rsid w:val="00F26E31"/>
    <w:rsid w:val="00F27C6C"/>
    <w:rsid w:val="00F34A8D"/>
    <w:rsid w:val="00F50D25"/>
    <w:rsid w:val="00F535D8"/>
    <w:rsid w:val="00F61155"/>
    <w:rsid w:val="00F62417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C38B1FE-658E-42A7-A7BA-CD8A1EC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0176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0E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02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