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886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8A6A0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1333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8A6A04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8A6A04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8A6A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8A6A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8A6A04">
            <w:pPr>
              <w:rPr>
                <w:bCs/>
                <w:sz w:val="22"/>
                <w:szCs w:val="22"/>
              </w:rPr>
            </w:pPr>
          </w:p>
          <w:p w:rsidR="007A44F8" w:rsidRPr="008A3940" w:rsidP="008A6A04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8A6A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06E3" w:rsidRPr="003F47E1" w:rsidP="00332D6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F47E1">
              <w:rPr>
                <w:b/>
                <w:sz w:val="26"/>
                <w:szCs w:val="26"/>
              </w:rPr>
              <w:t xml:space="preserve">FCC PROPOSES TO </w:t>
            </w:r>
            <w:r w:rsidR="00E947F5">
              <w:rPr>
                <w:b/>
                <w:sz w:val="26"/>
                <w:szCs w:val="26"/>
              </w:rPr>
              <w:t xml:space="preserve">STREAMLINE AND </w:t>
            </w:r>
            <w:r w:rsidR="00B5057B">
              <w:rPr>
                <w:b/>
                <w:sz w:val="26"/>
                <w:szCs w:val="26"/>
              </w:rPr>
              <w:t>IMPROVE</w:t>
            </w:r>
            <w:r w:rsidR="00E947F5">
              <w:rPr>
                <w:b/>
                <w:sz w:val="26"/>
                <w:szCs w:val="26"/>
              </w:rPr>
              <w:t xml:space="preserve"> </w:t>
            </w:r>
            <w:r w:rsidR="00A97F76">
              <w:rPr>
                <w:b/>
                <w:sz w:val="26"/>
                <w:szCs w:val="26"/>
              </w:rPr>
              <w:t xml:space="preserve">NCE FM AND LPFM COMPARATIVE </w:t>
            </w:r>
            <w:r w:rsidR="00BB2C72">
              <w:rPr>
                <w:b/>
                <w:sz w:val="26"/>
                <w:szCs w:val="26"/>
              </w:rPr>
              <w:t xml:space="preserve">SELECTION AND </w:t>
            </w:r>
            <w:r w:rsidR="00A97F76">
              <w:rPr>
                <w:b/>
                <w:sz w:val="26"/>
                <w:szCs w:val="26"/>
              </w:rPr>
              <w:t>LICENSING PROCEDURES</w:t>
            </w:r>
            <w:r w:rsidR="00E947F5">
              <w:rPr>
                <w:b/>
                <w:sz w:val="26"/>
                <w:szCs w:val="26"/>
              </w:rPr>
              <w:t xml:space="preserve"> </w:t>
            </w:r>
          </w:p>
          <w:p w:rsidR="00807DE8" w:rsidP="00332D68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  <w:r w:rsidR="00244B1F">
              <w:rPr>
                <w:b/>
                <w:bCs/>
                <w:i/>
                <w:iCs/>
              </w:rPr>
              <w:t xml:space="preserve">Proposals Seek to </w:t>
            </w:r>
            <w:r>
              <w:rPr>
                <w:b/>
                <w:bCs/>
                <w:i/>
                <w:iCs/>
              </w:rPr>
              <w:t xml:space="preserve">Help </w:t>
            </w:r>
            <w:r w:rsidR="00244B1F">
              <w:rPr>
                <w:b/>
                <w:bCs/>
                <w:i/>
                <w:iCs/>
              </w:rPr>
              <w:t>Speed Delivery of</w:t>
            </w:r>
            <w:r>
              <w:rPr>
                <w:b/>
                <w:bCs/>
                <w:i/>
                <w:iCs/>
              </w:rPr>
              <w:t xml:space="preserve"> New Radio Services to Consumers</w:t>
            </w:r>
          </w:p>
          <w:p w:rsidR="0032066B" w:rsidRPr="0032066B" w:rsidP="0032066B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9506E3" w:rsidP="008A6A04">
            <w:pPr>
              <w:rPr>
                <w:sz w:val="22"/>
                <w:szCs w:val="22"/>
              </w:rPr>
            </w:pPr>
            <w:r w:rsidRPr="008371F1">
              <w:rPr>
                <w:sz w:val="22"/>
                <w:szCs w:val="22"/>
              </w:rPr>
              <w:t>WASHINGTON</w:t>
            </w:r>
            <w:r>
              <w:rPr>
                <w:sz w:val="22"/>
                <w:szCs w:val="22"/>
              </w:rPr>
              <w:t xml:space="preserve">, </w:t>
            </w:r>
            <w:r w:rsidR="00381712">
              <w:rPr>
                <w:sz w:val="22"/>
                <w:szCs w:val="22"/>
              </w:rPr>
              <w:t>February</w:t>
            </w:r>
            <w:r w:rsidR="00811951">
              <w:rPr>
                <w:sz w:val="22"/>
                <w:szCs w:val="22"/>
              </w:rPr>
              <w:t xml:space="preserve"> </w:t>
            </w:r>
            <w:r w:rsidR="0032066B">
              <w:rPr>
                <w:sz w:val="22"/>
                <w:szCs w:val="22"/>
              </w:rPr>
              <w:t>14,</w:t>
            </w:r>
            <w:r w:rsidR="007749EB">
              <w:rPr>
                <w:sz w:val="22"/>
                <w:szCs w:val="22"/>
              </w:rPr>
              <w:t xml:space="preserve"> 201</w:t>
            </w:r>
            <w:r w:rsidR="00A52672">
              <w:rPr>
                <w:sz w:val="22"/>
                <w:szCs w:val="22"/>
              </w:rPr>
              <w:t>9</w:t>
            </w:r>
            <w:r w:rsidR="007749EB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</w:t>
            </w:r>
            <w:r w:rsidRPr="008371F1">
              <w:rPr>
                <w:sz w:val="22"/>
                <w:szCs w:val="22"/>
              </w:rPr>
              <w:t xml:space="preserve">Federal Communications Commission today </w:t>
            </w:r>
            <w:r w:rsidR="00363654">
              <w:rPr>
                <w:sz w:val="22"/>
                <w:szCs w:val="22"/>
              </w:rPr>
              <w:t>issued a Notice of Proposed Rulemaking</w:t>
            </w:r>
            <w:r w:rsidRPr="008371F1">
              <w:rPr>
                <w:sz w:val="22"/>
                <w:szCs w:val="22"/>
              </w:rPr>
              <w:t xml:space="preserve"> </w:t>
            </w:r>
            <w:r w:rsidR="00550CFD">
              <w:rPr>
                <w:sz w:val="22"/>
                <w:szCs w:val="22"/>
              </w:rPr>
              <w:t>aimed at</w:t>
            </w:r>
            <w:r w:rsidRPr="008371F1" w:rsidR="00550CFD">
              <w:rPr>
                <w:sz w:val="22"/>
                <w:szCs w:val="22"/>
              </w:rPr>
              <w:t xml:space="preserve"> </w:t>
            </w:r>
            <w:r w:rsidR="00C055C5">
              <w:rPr>
                <w:sz w:val="22"/>
                <w:szCs w:val="22"/>
              </w:rPr>
              <w:t>streamlin</w:t>
            </w:r>
            <w:r w:rsidR="00550CFD">
              <w:rPr>
                <w:sz w:val="22"/>
                <w:szCs w:val="22"/>
              </w:rPr>
              <w:t>ing</w:t>
            </w:r>
            <w:r w:rsidR="00C055C5">
              <w:rPr>
                <w:sz w:val="22"/>
                <w:szCs w:val="22"/>
              </w:rPr>
              <w:t xml:space="preserve"> </w:t>
            </w:r>
            <w:r w:rsidR="006F4457">
              <w:rPr>
                <w:sz w:val="22"/>
                <w:szCs w:val="22"/>
              </w:rPr>
              <w:t>and improv</w:t>
            </w:r>
            <w:r w:rsidR="00550CFD">
              <w:rPr>
                <w:sz w:val="22"/>
                <w:szCs w:val="22"/>
              </w:rPr>
              <w:t>ing</w:t>
            </w:r>
            <w:r w:rsidR="006F4457">
              <w:rPr>
                <w:sz w:val="22"/>
                <w:szCs w:val="22"/>
              </w:rPr>
              <w:t xml:space="preserve"> </w:t>
            </w:r>
            <w:r w:rsidR="00197754">
              <w:rPr>
                <w:sz w:val="22"/>
                <w:szCs w:val="22"/>
              </w:rPr>
              <w:t xml:space="preserve">the </w:t>
            </w:r>
            <w:r w:rsidR="000A1CDF">
              <w:rPr>
                <w:sz w:val="22"/>
                <w:szCs w:val="22"/>
              </w:rPr>
              <w:t>rules and procedures for processing and licensing competing applications for new noncommercial</w:t>
            </w:r>
            <w:r w:rsidR="00197754">
              <w:rPr>
                <w:sz w:val="22"/>
                <w:szCs w:val="22"/>
              </w:rPr>
              <w:t xml:space="preserve"> educational (NCE) </w:t>
            </w:r>
            <w:r w:rsidR="000A1CDF">
              <w:rPr>
                <w:sz w:val="22"/>
                <w:szCs w:val="22"/>
              </w:rPr>
              <w:t>broadcast</w:t>
            </w:r>
            <w:r w:rsidR="00626736">
              <w:rPr>
                <w:sz w:val="22"/>
                <w:szCs w:val="22"/>
              </w:rPr>
              <w:t xml:space="preserve"> </w:t>
            </w:r>
            <w:r w:rsidR="00197754">
              <w:rPr>
                <w:sz w:val="22"/>
                <w:szCs w:val="22"/>
              </w:rPr>
              <w:t>and low power FM (LPFM) stations.</w:t>
            </w:r>
          </w:p>
          <w:p w:rsidR="009506E3" w:rsidP="008A6A04">
            <w:pPr>
              <w:rPr>
                <w:sz w:val="22"/>
                <w:szCs w:val="22"/>
              </w:rPr>
            </w:pPr>
          </w:p>
          <w:p w:rsidR="001F3E47" w:rsidP="008A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Mutually exclusive (MX) appl</w:t>
            </w:r>
            <w:r w:rsidR="00197754">
              <w:rPr>
                <w:sz w:val="22"/>
                <w:szCs w:val="22"/>
              </w:rPr>
              <w:t>ications for new NCE and LPFM stations are currently resolved by applying comparative procedures</w:t>
            </w:r>
            <w:r w:rsidR="00357B52">
              <w:rPr>
                <w:sz w:val="22"/>
                <w:szCs w:val="22"/>
              </w:rPr>
              <w:t xml:space="preserve"> that</w:t>
            </w:r>
            <w:r w:rsidR="00197754">
              <w:rPr>
                <w:sz w:val="22"/>
                <w:szCs w:val="22"/>
              </w:rPr>
              <w:t xml:space="preserve"> include a point system for selecting among MX applications.  </w:t>
            </w:r>
            <w:r w:rsidR="006347A1">
              <w:rPr>
                <w:sz w:val="22"/>
                <w:szCs w:val="22"/>
              </w:rPr>
              <w:t>T</w:t>
            </w:r>
            <w:r w:rsidR="00197754">
              <w:rPr>
                <w:sz w:val="22"/>
                <w:szCs w:val="22"/>
              </w:rPr>
              <w:t xml:space="preserve">he NCE and LPFM procedures </w:t>
            </w:r>
            <w:r w:rsidR="006347A1">
              <w:rPr>
                <w:sz w:val="22"/>
                <w:szCs w:val="22"/>
              </w:rPr>
              <w:t>have</w:t>
            </w:r>
            <w:r w:rsidR="00197754">
              <w:rPr>
                <w:sz w:val="22"/>
                <w:szCs w:val="22"/>
              </w:rPr>
              <w:t xml:space="preserve"> facilitated the grant of several thousand new station construction permits</w:t>
            </w:r>
            <w:r w:rsidR="006347A1">
              <w:rPr>
                <w:sz w:val="22"/>
                <w:szCs w:val="22"/>
              </w:rPr>
              <w:t xml:space="preserve">.  </w:t>
            </w:r>
            <w:r w:rsidR="00244B1F">
              <w:rPr>
                <w:sz w:val="22"/>
                <w:szCs w:val="22"/>
              </w:rPr>
              <w:t xml:space="preserve">But some of these regulations are unnecessarily complex and have caused problems for applicants seeking in good faith to comply with them.  </w:t>
            </w:r>
            <w:r w:rsidR="006347A1">
              <w:rPr>
                <w:sz w:val="22"/>
                <w:szCs w:val="22"/>
              </w:rPr>
              <w:t>Based on experience gained from past filing windows,</w:t>
            </w:r>
            <w:r w:rsidR="000F7ECA">
              <w:rPr>
                <w:sz w:val="22"/>
                <w:szCs w:val="22"/>
              </w:rPr>
              <w:t xml:space="preserve"> </w:t>
            </w:r>
            <w:r w:rsidR="006347A1">
              <w:rPr>
                <w:sz w:val="22"/>
                <w:szCs w:val="22"/>
              </w:rPr>
              <w:t>t</w:t>
            </w:r>
            <w:r w:rsidR="00381712">
              <w:rPr>
                <w:sz w:val="22"/>
                <w:szCs w:val="22"/>
              </w:rPr>
              <w:t>his NPRM seeks to</w:t>
            </w:r>
            <w:r w:rsidR="00005057">
              <w:rPr>
                <w:sz w:val="22"/>
                <w:szCs w:val="22"/>
              </w:rPr>
              <w:t xml:space="preserve"> </w:t>
            </w:r>
            <w:r w:rsidR="009B5E32">
              <w:rPr>
                <w:sz w:val="22"/>
                <w:szCs w:val="22"/>
              </w:rPr>
              <w:t xml:space="preserve">clarify, simplify, and </w:t>
            </w:r>
            <w:r w:rsidR="00005057">
              <w:rPr>
                <w:sz w:val="22"/>
                <w:szCs w:val="22"/>
              </w:rPr>
              <w:t xml:space="preserve">improve our </w:t>
            </w:r>
            <w:r w:rsidR="00125E3F">
              <w:rPr>
                <w:sz w:val="22"/>
                <w:szCs w:val="22"/>
              </w:rPr>
              <w:t xml:space="preserve">selection and </w:t>
            </w:r>
            <w:r w:rsidR="00005057">
              <w:rPr>
                <w:sz w:val="22"/>
                <w:szCs w:val="22"/>
              </w:rPr>
              <w:t>licensing procedures</w:t>
            </w:r>
            <w:r w:rsidR="000C1638">
              <w:rPr>
                <w:sz w:val="22"/>
                <w:szCs w:val="22"/>
              </w:rPr>
              <w:t xml:space="preserve"> and </w:t>
            </w:r>
            <w:r w:rsidR="00EF2087">
              <w:rPr>
                <w:sz w:val="22"/>
                <w:szCs w:val="22"/>
              </w:rPr>
              <w:t xml:space="preserve">thus </w:t>
            </w:r>
            <w:r w:rsidR="000C1638">
              <w:rPr>
                <w:sz w:val="22"/>
                <w:szCs w:val="22"/>
              </w:rPr>
              <w:t>expedite the initiation of new service to the public.</w:t>
            </w:r>
            <w:r w:rsidR="00363654">
              <w:rPr>
                <w:sz w:val="22"/>
                <w:szCs w:val="22"/>
              </w:rPr>
              <w:t xml:space="preserve">  </w:t>
            </w:r>
          </w:p>
          <w:p w:rsidR="001F3E47" w:rsidP="008A6A04">
            <w:pPr>
              <w:rPr>
                <w:sz w:val="22"/>
                <w:szCs w:val="22"/>
              </w:rPr>
            </w:pPr>
          </w:p>
          <w:p w:rsidR="000634A9" w:rsidP="008A6A04">
            <w:pPr>
              <w:rPr>
                <w:sz w:val="22"/>
                <w:szCs w:val="22"/>
              </w:rPr>
            </w:pPr>
            <w:bookmarkStart w:id="1" w:name="_Hlk512931333"/>
            <w:r>
              <w:rPr>
                <w:sz w:val="22"/>
                <w:szCs w:val="22"/>
              </w:rPr>
              <w:t xml:space="preserve">Among other things, the NPRM tentatively </w:t>
            </w:r>
            <w:r w:rsidR="00197754">
              <w:rPr>
                <w:sz w:val="22"/>
                <w:szCs w:val="22"/>
              </w:rPr>
              <w:t>proposes</w:t>
            </w:r>
            <w:r>
              <w:rPr>
                <w:sz w:val="22"/>
                <w:szCs w:val="22"/>
              </w:rPr>
              <w:t xml:space="preserve"> t</w:t>
            </w:r>
            <w:r w:rsidR="0019775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23A87" w:rsidP="008A6A04">
            <w:pPr>
              <w:rPr>
                <w:sz w:val="22"/>
                <w:szCs w:val="22"/>
              </w:rPr>
            </w:pPr>
          </w:p>
          <w:p w:rsidR="00B23A87" w:rsidP="008A6A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3A87">
              <w:rPr>
                <w:sz w:val="22"/>
                <w:szCs w:val="22"/>
              </w:rPr>
              <w:t xml:space="preserve">Eliminate the current requirement that NCE applicants amend their governing documents to pledge that localism/diversity be maintained in order to receive points as “established local applicants” and </w:t>
            </w:r>
            <w:r w:rsidRPr="00B23A87">
              <w:rPr>
                <w:sz w:val="22"/>
                <w:szCs w:val="22"/>
              </w:rPr>
              <w:t>for “diversity of ownership”</w:t>
            </w:r>
          </w:p>
          <w:p w:rsidR="00B23A87" w:rsidP="008A6A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3A87">
              <w:rPr>
                <w:sz w:val="22"/>
                <w:szCs w:val="22"/>
              </w:rPr>
              <w:t>Improve the NCE tie-breaker process and reduce the need for mandatory time-sharing</w:t>
            </w:r>
          </w:p>
          <w:p w:rsidR="000634A9" w:rsidP="008A6A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3A87">
              <w:rPr>
                <w:sz w:val="22"/>
                <w:szCs w:val="22"/>
              </w:rPr>
              <w:t xml:space="preserve">Clarify aspects of the “holding period” </w:t>
            </w:r>
            <w:r w:rsidR="000A1CDF">
              <w:rPr>
                <w:sz w:val="22"/>
                <w:szCs w:val="22"/>
              </w:rPr>
              <w:t xml:space="preserve">rule </w:t>
            </w:r>
            <w:r w:rsidRPr="00B23A87">
              <w:rPr>
                <w:sz w:val="22"/>
                <w:szCs w:val="22"/>
              </w:rPr>
              <w:t>by which NCE permittees must maintain the characteristics for which they received comparative prefe</w:t>
            </w:r>
            <w:r w:rsidRPr="00B23A87">
              <w:rPr>
                <w:sz w:val="22"/>
                <w:szCs w:val="22"/>
              </w:rPr>
              <w:t>rences</w:t>
            </w:r>
            <w:r w:rsidR="00EF2087">
              <w:rPr>
                <w:sz w:val="22"/>
                <w:szCs w:val="22"/>
              </w:rPr>
              <w:t xml:space="preserve"> and points</w:t>
            </w:r>
          </w:p>
          <w:p w:rsidR="000634A9" w:rsidRPr="005C60D0" w:rsidP="008A6A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C60D0">
              <w:rPr>
                <w:sz w:val="22"/>
                <w:szCs w:val="22"/>
              </w:rPr>
              <w:t xml:space="preserve">Reclassify as “minor” gradual changes in </w:t>
            </w:r>
            <w:r w:rsidR="00EF2087">
              <w:rPr>
                <w:sz w:val="22"/>
                <w:szCs w:val="22"/>
              </w:rPr>
              <w:t xml:space="preserve">governing boards with respect to </w:t>
            </w:r>
            <w:r w:rsidRPr="005C60D0">
              <w:rPr>
                <w:sz w:val="22"/>
                <w:szCs w:val="22"/>
              </w:rPr>
              <w:t>non-stock and membership LPFM and NCE applicants</w:t>
            </w:r>
          </w:p>
          <w:p w:rsidR="000634A9" w:rsidRPr="005C60D0" w:rsidP="008A6A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C60D0">
              <w:rPr>
                <w:sz w:val="22"/>
                <w:szCs w:val="22"/>
              </w:rPr>
              <w:t>Extend the LPFM construction period from 18-months to a full three years</w:t>
            </w:r>
          </w:p>
          <w:p w:rsidR="000634A9" w:rsidP="008A6A0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C60D0">
              <w:rPr>
                <w:sz w:val="22"/>
                <w:szCs w:val="22"/>
              </w:rPr>
              <w:t>Allow the assignment/transfer of LPFM cons</w:t>
            </w:r>
            <w:r w:rsidRPr="005C60D0">
              <w:rPr>
                <w:sz w:val="22"/>
                <w:szCs w:val="22"/>
              </w:rPr>
              <w:t>truction permits after an 18-month holding period and eliminate the three</w:t>
            </w:r>
            <w:r>
              <w:rPr>
                <w:sz w:val="22"/>
                <w:szCs w:val="22"/>
              </w:rPr>
              <w:t>-year holding period on assigning LPFM licenses</w:t>
            </w:r>
            <w:r w:rsidR="00550CFD">
              <w:rPr>
                <w:sz w:val="22"/>
                <w:szCs w:val="22"/>
              </w:rPr>
              <w:t>.</w:t>
            </w:r>
          </w:p>
          <w:p w:rsidR="000634A9" w:rsidP="008A6A04">
            <w:pPr>
              <w:rPr>
                <w:sz w:val="22"/>
                <w:szCs w:val="22"/>
              </w:rPr>
            </w:pPr>
          </w:p>
          <w:bookmarkEnd w:id="1"/>
          <w:p w:rsidR="009506E3" w:rsidP="008A6A04">
            <w:pPr>
              <w:rPr>
                <w:sz w:val="22"/>
                <w:szCs w:val="22"/>
              </w:rPr>
            </w:pPr>
            <w:r w:rsidRPr="003E2AB6">
              <w:rPr>
                <w:sz w:val="22"/>
                <w:szCs w:val="22"/>
              </w:rPr>
              <w:t xml:space="preserve">Action by the </w:t>
            </w:r>
            <w:r w:rsidR="00C055C5">
              <w:rPr>
                <w:sz w:val="22"/>
                <w:szCs w:val="22"/>
              </w:rPr>
              <w:t xml:space="preserve">Commission </w:t>
            </w:r>
            <w:r w:rsidR="00381712">
              <w:rPr>
                <w:sz w:val="22"/>
                <w:szCs w:val="22"/>
              </w:rPr>
              <w:t>February</w:t>
            </w:r>
            <w:r w:rsidR="00811951">
              <w:rPr>
                <w:sz w:val="22"/>
                <w:szCs w:val="22"/>
              </w:rPr>
              <w:t xml:space="preserve"> </w:t>
            </w:r>
            <w:r w:rsidR="00D250D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201</w:t>
            </w:r>
            <w:r w:rsidR="00811951">
              <w:rPr>
                <w:sz w:val="22"/>
                <w:szCs w:val="22"/>
              </w:rPr>
              <w:t>9</w:t>
            </w:r>
            <w:r w:rsidRPr="003E2AB6">
              <w:rPr>
                <w:sz w:val="22"/>
                <w:szCs w:val="22"/>
              </w:rPr>
              <w:t xml:space="preserve">, by </w:t>
            </w:r>
            <w:r>
              <w:rPr>
                <w:sz w:val="22"/>
                <w:szCs w:val="22"/>
              </w:rPr>
              <w:t>Notice of Proposed Rulemaking</w:t>
            </w:r>
            <w:r w:rsidRPr="003E2AB6">
              <w:rPr>
                <w:sz w:val="22"/>
                <w:szCs w:val="22"/>
              </w:rPr>
              <w:t xml:space="preserve"> (</w:t>
            </w:r>
            <w:r w:rsidRPr="009224E7" w:rsidR="009224E7">
              <w:rPr>
                <w:sz w:val="22"/>
                <w:szCs w:val="22"/>
              </w:rPr>
              <w:t>FCC 19-</w:t>
            </w:r>
            <w:r w:rsidR="009224E7">
              <w:rPr>
                <w:sz w:val="22"/>
                <w:szCs w:val="22"/>
              </w:rPr>
              <w:t>9</w:t>
            </w:r>
            <w:r w:rsidRPr="009224E7" w:rsidR="009224E7">
              <w:rPr>
                <w:sz w:val="22"/>
                <w:szCs w:val="22"/>
              </w:rPr>
              <w:t>).  Chairman Pai, Commissioners O’Rielly, Carr, Rosenworcel, and Starks approving.  Chairman Pai, Commissioners Carr, Rosenworcel, and Starks issuing separate statements.</w:t>
            </w:r>
          </w:p>
          <w:p w:rsidR="009506E3" w:rsidRPr="003E2AB6" w:rsidP="008A6A04">
            <w:pPr>
              <w:rPr>
                <w:sz w:val="22"/>
                <w:szCs w:val="22"/>
              </w:rPr>
            </w:pPr>
          </w:p>
          <w:p w:rsidR="00BD19E8" w:rsidP="008A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Docket No. 1</w:t>
            </w:r>
            <w:r w:rsidR="00A526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</w:t>
            </w:r>
            <w:r w:rsidR="00D839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332D68" w:rsidRPr="00A225A9" w:rsidP="008A6A0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P="008A6A04">
            <w:pPr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BC583F" w:rsidRPr="004A729A" w:rsidP="008A6A04">
            <w:pPr>
              <w:jc w:val="center"/>
              <w:rPr>
                <w:sz w:val="22"/>
                <w:szCs w:val="22"/>
              </w:rPr>
            </w:pPr>
          </w:p>
          <w:p w:rsidR="00E644FE" w:rsidP="008A6A04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A6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A6A04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A6A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Twitter: </w:t>
            </w:r>
            <w:r>
              <w:rPr>
                <w:b/>
                <w:bCs/>
                <w:sz w:val="18"/>
                <w:szCs w:val="18"/>
              </w:rPr>
              <w:t>@FCC</w:t>
            </w:r>
          </w:p>
          <w:p w:rsidR="00CC5E08" w:rsidP="008A6A04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BC583F" w:rsidRPr="00285C36" w:rsidP="008A6A04">
            <w:pPr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</w:p>
          <w:p w:rsidR="00EE0E90" w:rsidRPr="0069420F" w:rsidP="008A6A04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AF0B4D" w:rsidP="008A6A04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:rsidP="008A6A04">
      <w:pPr>
        <w:rPr>
          <w:b/>
          <w:bCs/>
          <w:sz w:val="2"/>
          <w:szCs w:val="2"/>
        </w:rPr>
      </w:pPr>
    </w:p>
    <w:sectPr w:rsidSect="00332D68">
      <w:pgSz w:w="12240" w:h="15840"/>
      <w:pgMar w:top="634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3C7139"/>
    <w:multiLevelType w:val="hybridMultilevel"/>
    <w:tmpl w:val="76BA5016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F60258D"/>
    <w:multiLevelType w:val="hybridMultilevel"/>
    <w:tmpl w:val="909C43F2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789A"/>
    <w:multiLevelType w:val="hybridMultilevel"/>
    <w:tmpl w:val="AFF6E56A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B10"/>
    <w:multiLevelType w:val="hybridMultilevel"/>
    <w:tmpl w:val="B48253C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D"/>
    <w:rsid w:val="00005057"/>
    <w:rsid w:val="0002500C"/>
    <w:rsid w:val="000311FC"/>
    <w:rsid w:val="00040127"/>
    <w:rsid w:val="000506BE"/>
    <w:rsid w:val="000634A9"/>
    <w:rsid w:val="00065E2D"/>
    <w:rsid w:val="0007267B"/>
    <w:rsid w:val="00081232"/>
    <w:rsid w:val="00091E65"/>
    <w:rsid w:val="00096D4A"/>
    <w:rsid w:val="000A1CDF"/>
    <w:rsid w:val="000A38EA"/>
    <w:rsid w:val="000C1638"/>
    <w:rsid w:val="000C1D9D"/>
    <w:rsid w:val="000C1E47"/>
    <w:rsid w:val="000C26F3"/>
    <w:rsid w:val="000E049E"/>
    <w:rsid w:val="000F7ECA"/>
    <w:rsid w:val="0010799B"/>
    <w:rsid w:val="00117DB2"/>
    <w:rsid w:val="00123ED2"/>
    <w:rsid w:val="00125BE0"/>
    <w:rsid w:val="00125E3F"/>
    <w:rsid w:val="00142C13"/>
    <w:rsid w:val="00152776"/>
    <w:rsid w:val="00153222"/>
    <w:rsid w:val="001577D3"/>
    <w:rsid w:val="001643F8"/>
    <w:rsid w:val="001733A6"/>
    <w:rsid w:val="001865A9"/>
    <w:rsid w:val="00187DB2"/>
    <w:rsid w:val="00195F47"/>
    <w:rsid w:val="00197754"/>
    <w:rsid w:val="001B20BB"/>
    <w:rsid w:val="001C4370"/>
    <w:rsid w:val="001D3779"/>
    <w:rsid w:val="001E0164"/>
    <w:rsid w:val="001E1367"/>
    <w:rsid w:val="001F0469"/>
    <w:rsid w:val="001F2AE8"/>
    <w:rsid w:val="001F3E47"/>
    <w:rsid w:val="001F5708"/>
    <w:rsid w:val="00203A98"/>
    <w:rsid w:val="00206EDD"/>
    <w:rsid w:val="0021247E"/>
    <w:rsid w:val="002146F6"/>
    <w:rsid w:val="00231C32"/>
    <w:rsid w:val="00240345"/>
    <w:rsid w:val="002421F0"/>
    <w:rsid w:val="00244B1F"/>
    <w:rsid w:val="00247274"/>
    <w:rsid w:val="00266966"/>
    <w:rsid w:val="00285C36"/>
    <w:rsid w:val="00294C0C"/>
    <w:rsid w:val="002A0934"/>
    <w:rsid w:val="002B1013"/>
    <w:rsid w:val="002D03E5"/>
    <w:rsid w:val="002D0980"/>
    <w:rsid w:val="002E3F1D"/>
    <w:rsid w:val="002F31D0"/>
    <w:rsid w:val="00300359"/>
    <w:rsid w:val="00301AEF"/>
    <w:rsid w:val="0031773E"/>
    <w:rsid w:val="0032066B"/>
    <w:rsid w:val="00332D68"/>
    <w:rsid w:val="00333871"/>
    <w:rsid w:val="00347716"/>
    <w:rsid w:val="003506E1"/>
    <w:rsid w:val="00357B52"/>
    <w:rsid w:val="00363654"/>
    <w:rsid w:val="003727E3"/>
    <w:rsid w:val="00381712"/>
    <w:rsid w:val="0038382B"/>
    <w:rsid w:val="00385A93"/>
    <w:rsid w:val="003910F1"/>
    <w:rsid w:val="003E2AB6"/>
    <w:rsid w:val="003E42FC"/>
    <w:rsid w:val="003E5991"/>
    <w:rsid w:val="003F344A"/>
    <w:rsid w:val="003F47E1"/>
    <w:rsid w:val="00403FF0"/>
    <w:rsid w:val="0042046D"/>
    <w:rsid w:val="0042116E"/>
    <w:rsid w:val="00425AEF"/>
    <w:rsid w:val="00426518"/>
    <w:rsid w:val="00427B06"/>
    <w:rsid w:val="004336FA"/>
    <w:rsid w:val="00441F59"/>
    <w:rsid w:val="00444E07"/>
    <w:rsid w:val="00444FA9"/>
    <w:rsid w:val="00473E9C"/>
    <w:rsid w:val="00480099"/>
    <w:rsid w:val="00497858"/>
    <w:rsid w:val="004A729A"/>
    <w:rsid w:val="004B169E"/>
    <w:rsid w:val="004B4FEA"/>
    <w:rsid w:val="004C0ADA"/>
    <w:rsid w:val="004C433E"/>
    <w:rsid w:val="004C4512"/>
    <w:rsid w:val="004C4F36"/>
    <w:rsid w:val="004D3D85"/>
    <w:rsid w:val="004D69BF"/>
    <w:rsid w:val="004E2BD8"/>
    <w:rsid w:val="004F0F1F"/>
    <w:rsid w:val="005022AA"/>
    <w:rsid w:val="00504845"/>
    <w:rsid w:val="0050757F"/>
    <w:rsid w:val="00516AD2"/>
    <w:rsid w:val="00541134"/>
    <w:rsid w:val="00541682"/>
    <w:rsid w:val="00545DAE"/>
    <w:rsid w:val="005506E7"/>
    <w:rsid w:val="00550CFD"/>
    <w:rsid w:val="00551E02"/>
    <w:rsid w:val="00562C33"/>
    <w:rsid w:val="00571B83"/>
    <w:rsid w:val="00575A00"/>
    <w:rsid w:val="005804D4"/>
    <w:rsid w:val="0058673C"/>
    <w:rsid w:val="0058677F"/>
    <w:rsid w:val="005A047F"/>
    <w:rsid w:val="005A2E93"/>
    <w:rsid w:val="005A7972"/>
    <w:rsid w:val="005B17E7"/>
    <w:rsid w:val="005B2643"/>
    <w:rsid w:val="005C60D0"/>
    <w:rsid w:val="005D17FD"/>
    <w:rsid w:val="005F0D55"/>
    <w:rsid w:val="005F183E"/>
    <w:rsid w:val="00600DDA"/>
    <w:rsid w:val="00604211"/>
    <w:rsid w:val="00613498"/>
    <w:rsid w:val="00615720"/>
    <w:rsid w:val="00617B94"/>
    <w:rsid w:val="00620BED"/>
    <w:rsid w:val="00626736"/>
    <w:rsid w:val="006347A1"/>
    <w:rsid w:val="00640444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47CC"/>
    <w:rsid w:val="006A7D75"/>
    <w:rsid w:val="006B0A70"/>
    <w:rsid w:val="006B606A"/>
    <w:rsid w:val="006C33AF"/>
    <w:rsid w:val="006D5D22"/>
    <w:rsid w:val="006E0324"/>
    <w:rsid w:val="006E4A76"/>
    <w:rsid w:val="006F1DBD"/>
    <w:rsid w:val="006F4457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49EB"/>
    <w:rsid w:val="0077752B"/>
    <w:rsid w:val="00782FF0"/>
    <w:rsid w:val="00793D6F"/>
    <w:rsid w:val="00794090"/>
    <w:rsid w:val="007A44F8"/>
    <w:rsid w:val="007D21BF"/>
    <w:rsid w:val="007E4EA1"/>
    <w:rsid w:val="007F3C12"/>
    <w:rsid w:val="007F5205"/>
    <w:rsid w:val="00807DE8"/>
    <w:rsid w:val="00811951"/>
    <w:rsid w:val="008215E7"/>
    <w:rsid w:val="00830FC6"/>
    <w:rsid w:val="00832571"/>
    <w:rsid w:val="008371F1"/>
    <w:rsid w:val="00850E26"/>
    <w:rsid w:val="00865EAA"/>
    <w:rsid w:val="00866F06"/>
    <w:rsid w:val="00871731"/>
    <w:rsid w:val="008728F5"/>
    <w:rsid w:val="008824C2"/>
    <w:rsid w:val="008960E4"/>
    <w:rsid w:val="008A3940"/>
    <w:rsid w:val="008A5B99"/>
    <w:rsid w:val="008A6A04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27AF"/>
    <w:rsid w:val="00915DB4"/>
    <w:rsid w:val="009224E7"/>
    <w:rsid w:val="00932A43"/>
    <w:rsid w:val="0093373C"/>
    <w:rsid w:val="00946008"/>
    <w:rsid w:val="009506E3"/>
    <w:rsid w:val="00960A63"/>
    <w:rsid w:val="00961620"/>
    <w:rsid w:val="00964BDB"/>
    <w:rsid w:val="0096635A"/>
    <w:rsid w:val="009734B6"/>
    <w:rsid w:val="0098096F"/>
    <w:rsid w:val="0098437A"/>
    <w:rsid w:val="00986C92"/>
    <w:rsid w:val="00993C47"/>
    <w:rsid w:val="009972BC"/>
    <w:rsid w:val="009B4B16"/>
    <w:rsid w:val="009B5E32"/>
    <w:rsid w:val="009E54A1"/>
    <w:rsid w:val="009F4E25"/>
    <w:rsid w:val="009F5B1F"/>
    <w:rsid w:val="00A225A9"/>
    <w:rsid w:val="00A31BD8"/>
    <w:rsid w:val="00A35DFD"/>
    <w:rsid w:val="00A43253"/>
    <w:rsid w:val="00A52672"/>
    <w:rsid w:val="00A702DF"/>
    <w:rsid w:val="00A775A3"/>
    <w:rsid w:val="00A81700"/>
    <w:rsid w:val="00A81B5B"/>
    <w:rsid w:val="00A82FAD"/>
    <w:rsid w:val="00A9673A"/>
    <w:rsid w:val="00A96EF2"/>
    <w:rsid w:val="00A97F76"/>
    <w:rsid w:val="00AA5C35"/>
    <w:rsid w:val="00AA5ED9"/>
    <w:rsid w:val="00AC0A38"/>
    <w:rsid w:val="00AC4E0E"/>
    <w:rsid w:val="00AC517B"/>
    <w:rsid w:val="00AD0D19"/>
    <w:rsid w:val="00AF051B"/>
    <w:rsid w:val="00AF0B4D"/>
    <w:rsid w:val="00B037A2"/>
    <w:rsid w:val="00B23A87"/>
    <w:rsid w:val="00B31870"/>
    <w:rsid w:val="00B320B8"/>
    <w:rsid w:val="00B35EE2"/>
    <w:rsid w:val="00B36DEF"/>
    <w:rsid w:val="00B5057B"/>
    <w:rsid w:val="00B57131"/>
    <w:rsid w:val="00B62F2C"/>
    <w:rsid w:val="00B727C9"/>
    <w:rsid w:val="00B735C8"/>
    <w:rsid w:val="00B76A63"/>
    <w:rsid w:val="00B8758E"/>
    <w:rsid w:val="00B90426"/>
    <w:rsid w:val="00BA0156"/>
    <w:rsid w:val="00BA0D24"/>
    <w:rsid w:val="00BA6350"/>
    <w:rsid w:val="00BB2C72"/>
    <w:rsid w:val="00BB4E29"/>
    <w:rsid w:val="00BB74C9"/>
    <w:rsid w:val="00BC3AB6"/>
    <w:rsid w:val="00BC583F"/>
    <w:rsid w:val="00BD19E8"/>
    <w:rsid w:val="00BD4273"/>
    <w:rsid w:val="00BF1449"/>
    <w:rsid w:val="00C055C5"/>
    <w:rsid w:val="00C432E4"/>
    <w:rsid w:val="00C53181"/>
    <w:rsid w:val="00C5511B"/>
    <w:rsid w:val="00C70C26"/>
    <w:rsid w:val="00C72001"/>
    <w:rsid w:val="00C772B7"/>
    <w:rsid w:val="00C80347"/>
    <w:rsid w:val="00C9745D"/>
    <w:rsid w:val="00CB7C1A"/>
    <w:rsid w:val="00CC1A9C"/>
    <w:rsid w:val="00CC5E08"/>
    <w:rsid w:val="00CE14FD"/>
    <w:rsid w:val="00CF218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0D2"/>
    <w:rsid w:val="00D46CB1"/>
    <w:rsid w:val="00D723F0"/>
    <w:rsid w:val="00D8133F"/>
    <w:rsid w:val="00D839F3"/>
    <w:rsid w:val="00D85FFF"/>
    <w:rsid w:val="00D861EE"/>
    <w:rsid w:val="00D95B05"/>
    <w:rsid w:val="00D97E2D"/>
    <w:rsid w:val="00DA103D"/>
    <w:rsid w:val="00DA45D3"/>
    <w:rsid w:val="00DA4772"/>
    <w:rsid w:val="00DA7B44"/>
    <w:rsid w:val="00DB2667"/>
    <w:rsid w:val="00DB35F3"/>
    <w:rsid w:val="00DB67B7"/>
    <w:rsid w:val="00DC15A9"/>
    <w:rsid w:val="00DC1D32"/>
    <w:rsid w:val="00DC40AA"/>
    <w:rsid w:val="00DD1750"/>
    <w:rsid w:val="00E336DC"/>
    <w:rsid w:val="00E349AA"/>
    <w:rsid w:val="00E41390"/>
    <w:rsid w:val="00E41CA0"/>
    <w:rsid w:val="00E4366B"/>
    <w:rsid w:val="00E45627"/>
    <w:rsid w:val="00E50A4A"/>
    <w:rsid w:val="00E606DE"/>
    <w:rsid w:val="00E644FE"/>
    <w:rsid w:val="00E72733"/>
    <w:rsid w:val="00E742FA"/>
    <w:rsid w:val="00E76816"/>
    <w:rsid w:val="00E83DBF"/>
    <w:rsid w:val="00E87C13"/>
    <w:rsid w:val="00E947F5"/>
    <w:rsid w:val="00E94CD9"/>
    <w:rsid w:val="00EA1A76"/>
    <w:rsid w:val="00EA290B"/>
    <w:rsid w:val="00EE0E90"/>
    <w:rsid w:val="00EF2087"/>
    <w:rsid w:val="00EF3BCA"/>
    <w:rsid w:val="00F01B0D"/>
    <w:rsid w:val="00F1238F"/>
    <w:rsid w:val="00F14986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4020"/>
    <w:rsid w:val="00F76561"/>
    <w:rsid w:val="00F84736"/>
    <w:rsid w:val="00FC6C29"/>
    <w:rsid w:val="00FD58E0"/>
    <w:rsid w:val="00FD6C39"/>
    <w:rsid w:val="00FD71AE"/>
    <w:rsid w:val="00FE0198"/>
    <w:rsid w:val="00FE3A7C"/>
    <w:rsid w:val="00FE66E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4337906-0B0E-43B8-ABB4-CA6B432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1F57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5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7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70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F5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7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