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D5D22">
        <w:tblPrEx>
          <w:tblW w:w="0" w:type="auto"/>
          <w:tblLook w:val="0000"/>
        </w:tblPrEx>
        <w:trPr>
          <w:trHeight w:val="2181"/>
        </w:trPr>
        <w:tc>
          <w:tcPr>
            <w:tcW w:w="8856" w:type="dxa"/>
          </w:tcPr>
          <w:p w:rsidR="00FF232D" w:rsidP="00641CD8">
            <w:pPr>
              <w:spacing w:after="120"/>
              <w:jc w:val="center"/>
              <w:rPr>
                <w:b/>
              </w:rPr>
            </w:pPr>
            <w:bookmarkStart w:id="0" w:name="_GoBack"/>
            <w:bookmarkEnd w:id="0"/>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226378"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Pr>
                <w:bCs/>
                <w:sz w:val="22"/>
                <w:szCs w:val="22"/>
              </w:rPr>
              <w:t>Will Wiquist, 202-418-0509</w:t>
            </w:r>
          </w:p>
          <w:p w:rsidR="007A44F8" w:rsidP="00BB4E29">
            <w:pPr>
              <w:rPr>
                <w:bCs/>
                <w:sz w:val="22"/>
                <w:szCs w:val="22"/>
              </w:rPr>
            </w:pPr>
            <w:r>
              <w:rPr>
                <w:bCs/>
                <w:sz w:val="22"/>
                <w:szCs w:val="22"/>
              </w:rPr>
              <w:t>will.wiquist</w:t>
            </w:r>
            <w:r w:rsidRPr="00767BA3" w:rsidR="00767BA3">
              <w:rPr>
                <w:bCs/>
                <w:sz w:val="22"/>
                <w:szCs w:val="22"/>
              </w:rPr>
              <w:t xml:space="preserve">@fcc.gov </w:t>
            </w:r>
          </w:p>
          <w:p w:rsidR="00767BA3" w:rsidRPr="008A3940" w:rsidP="00BB4E29">
            <w:pPr>
              <w:rPr>
                <w:bCs/>
                <w:sz w:val="22"/>
                <w:szCs w:val="22"/>
              </w:rPr>
            </w:pPr>
          </w:p>
          <w:p w:rsidR="007A44F8" w:rsidP="00BB4E29">
            <w:pPr>
              <w:rPr>
                <w:b/>
                <w:sz w:val="22"/>
                <w:szCs w:val="22"/>
              </w:rPr>
            </w:pPr>
            <w:r w:rsidRPr="008A3940">
              <w:rPr>
                <w:b/>
                <w:sz w:val="22"/>
                <w:szCs w:val="22"/>
              </w:rPr>
              <w:t>For Immediate Release</w:t>
            </w:r>
          </w:p>
          <w:p w:rsidR="007A44F8" w:rsidRPr="00641CD8" w:rsidP="00BB4E29">
            <w:pPr>
              <w:jc w:val="center"/>
              <w:rPr>
                <w:b/>
                <w:bCs/>
                <w:sz w:val="22"/>
                <w:szCs w:val="22"/>
              </w:rPr>
            </w:pPr>
          </w:p>
          <w:p w:rsidR="00E34E3F" w:rsidRPr="0087680C" w:rsidP="0087680C">
            <w:pPr>
              <w:widowControl w:val="0"/>
              <w:shd w:val="clear" w:color="auto" w:fill="FFFFFF" w:themeFill="background1"/>
              <w:autoSpaceDE w:val="0"/>
              <w:autoSpaceDN w:val="0"/>
              <w:adjustRightInd w:val="0"/>
              <w:jc w:val="center"/>
              <w:rPr>
                <w:b/>
                <w:bCs/>
                <w:caps/>
              </w:rPr>
            </w:pPr>
            <w:r w:rsidRPr="00B47F70">
              <w:rPr>
                <w:b/>
                <w:bCs/>
                <w:caps/>
              </w:rPr>
              <w:t xml:space="preserve">FCC </w:t>
            </w:r>
            <w:r w:rsidRPr="00B47F70" w:rsidR="00A41840">
              <w:rPr>
                <w:b/>
                <w:bCs/>
                <w:caps/>
              </w:rPr>
              <w:t xml:space="preserve">ANNOUNCES TENTATIVE AGENDA </w:t>
            </w:r>
            <w:r w:rsidRPr="0087680C" w:rsidR="00A41840">
              <w:rPr>
                <w:b/>
                <w:bCs/>
                <w:caps/>
              </w:rPr>
              <w:t xml:space="preserve">FOR </w:t>
            </w:r>
            <w:r w:rsidRPr="0087680C" w:rsidR="008F10EF">
              <w:rPr>
                <w:b/>
                <w:bCs/>
                <w:caps/>
              </w:rPr>
              <w:t>MARCH</w:t>
            </w:r>
            <w:r w:rsidRPr="0087680C" w:rsidR="00A41840">
              <w:rPr>
                <w:b/>
                <w:bCs/>
                <w:caps/>
              </w:rPr>
              <w:t xml:space="preserve"> OPEN MEETING</w:t>
            </w:r>
          </w:p>
          <w:p w:rsidR="00F61155" w:rsidRPr="0087680C" w:rsidP="0087680C">
            <w:pPr>
              <w:shd w:val="clear" w:color="auto" w:fill="FFFFFF" w:themeFill="background1"/>
              <w:tabs>
                <w:tab w:val="left" w:pos="8625"/>
              </w:tabs>
              <w:jc w:val="center"/>
              <w:rPr>
                <w:i/>
                <w:color w:val="F2F2F2" w:themeColor="background1" w:themeShade="F2"/>
                <w:sz w:val="28"/>
              </w:rPr>
            </w:pPr>
            <w:r w:rsidRPr="0087680C">
              <w:rPr>
                <w:b/>
                <w:bCs/>
                <w:i/>
                <w:sz w:val="28"/>
                <w:szCs w:val="32"/>
              </w:rPr>
              <w:t xml:space="preserve">  </w:t>
            </w:r>
            <w:r w:rsidRPr="0087680C">
              <w:rPr>
                <w:b/>
                <w:bCs/>
                <w:i/>
                <w:color w:val="F2F2F2" w:themeColor="background1" w:themeShade="F2"/>
                <w:sz w:val="28"/>
                <w:szCs w:val="32"/>
              </w:rPr>
              <w:t>--</w:t>
            </w:r>
            <w:r w:rsidRPr="0087680C" w:rsidR="00347716">
              <w:rPr>
                <w:b/>
                <w:bCs/>
                <w:i/>
                <w:color w:val="F2F2F2" w:themeColor="background1" w:themeShade="F2"/>
                <w:sz w:val="28"/>
                <w:szCs w:val="32"/>
              </w:rPr>
              <w:t xml:space="preserve"> </w:t>
            </w:r>
          </w:p>
          <w:p w:rsidR="00A41840" w:rsidRPr="00A41840" w:rsidP="0087680C">
            <w:pPr>
              <w:shd w:val="clear" w:color="auto" w:fill="FFFFFF" w:themeFill="background1"/>
              <w:tabs>
                <w:tab w:val="left" w:pos="8640"/>
              </w:tabs>
              <w:rPr>
                <w:sz w:val="22"/>
                <w:szCs w:val="22"/>
              </w:rPr>
            </w:pPr>
            <w:r w:rsidRPr="0087680C">
              <w:rPr>
                <w:sz w:val="22"/>
                <w:szCs w:val="22"/>
              </w:rPr>
              <w:t xml:space="preserve">WASHINGTON, </w:t>
            </w:r>
            <w:r w:rsidRPr="0087680C" w:rsidR="008F10EF">
              <w:rPr>
                <w:sz w:val="22"/>
                <w:szCs w:val="22"/>
              </w:rPr>
              <w:t>February 22</w:t>
            </w:r>
            <w:r w:rsidRPr="0087680C" w:rsidR="00D148D6">
              <w:rPr>
                <w:sz w:val="22"/>
                <w:szCs w:val="22"/>
              </w:rPr>
              <w:t>, 201</w:t>
            </w:r>
            <w:r w:rsidRPr="0087680C" w:rsidR="000D7889">
              <w:rPr>
                <w:sz w:val="22"/>
                <w:szCs w:val="22"/>
              </w:rPr>
              <w:t>9</w:t>
            </w:r>
            <w:r w:rsidRPr="0087680C" w:rsidR="00641CD8">
              <w:rPr>
                <w:sz w:val="22"/>
                <w:szCs w:val="22"/>
              </w:rPr>
              <w:t>—</w:t>
            </w:r>
            <w:r w:rsidRPr="0087680C">
              <w:rPr>
                <w:sz w:val="22"/>
                <w:szCs w:val="22"/>
              </w:rPr>
              <w:t xml:space="preserve">Federal Communications Commission Chairman </w:t>
            </w:r>
            <w:r w:rsidRPr="0087680C" w:rsidR="00A27E96">
              <w:rPr>
                <w:sz w:val="22"/>
                <w:szCs w:val="22"/>
              </w:rPr>
              <w:t xml:space="preserve">Ajit Pai </w:t>
            </w:r>
            <w:r w:rsidRPr="0087680C">
              <w:rPr>
                <w:sz w:val="22"/>
                <w:szCs w:val="22"/>
              </w:rPr>
              <w:t xml:space="preserve">announced that the items </w:t>
            </w:r>
            <w:r w:rsidRPr="0087680C" w:rsidR="000D7889">
              <w:rPr>
                <w:sz w:val="22"/>
                <w:szCs w:val="22"/>
              </w:rPr>
              <w:t xml:space="preserve">below </w:t>
            </w:r>
            <w:r w:rsidRPr="0087680C">
              <w:rPr>
                <w:sz w:val="22"/>
                <w:szCs w:val="22"/>
              </w:rPr>
              <w:t xml:space="preserve">are tentatively on the agenda for the </w:t>
            </w:r>
            <w:r w:rsidRPr="0087680C" w:rsidR="008F10EF">
              <w:rPr>
                <w:sz w:val="22"/>
                <w:szCs w:val="22"/>
              </w:rPr>
              <w:t>March</w:t>
            </w:r>
            <w:r w:rsidRPr="0087680C">
              <w:rPr>
                <w:sz w:val="22"/>
                <w:szCs w:val="22"/>
              </w:rPr>
              <w:t xml:space="preserve"> Open Commission Meeting scheduled for </w:t>
            </w:r>
            <w:r w:rsidRPr="0087680C" w:rsidR="008F10EF">
              <w:rPr>
                <w:sz w:val="22"/>
                <w:szCs w:val="22"/>
              </w:rPr>
              <w:t>Friday</w:t>
            </w:r>
            <w:r w:rsidRPr="0087680C" w:rsidR="00D148D6">
              <w:rPr>
                <w:sz w:val="22"/>
                <w:szCs w:val="22"/>
              </w:rPr>
              <w:t xml:space="preserve">, </w:t>
            </w:r>
            <w:r w:rsidRPr="0087680C" w:rsidR="008F10EF">
              <w:rPr>
                <w:sz w:val="22"/>
                <w:szCs w:val="22"/>
              </w:rPr>
              <w:t>March 15</w:t>
            </w:r>
            <w:r w:rsidRPr="0087680C" w:rsidR="00D148D6">
              <w:rPr>
                <w:sz w:val="22"/>
                <w:szCs w:val="22"/>
              </w:rPr>
              <w:t>, 201</w:t>
            </w:r>
            <w:r w:rsidRPr="0087680C" w:rsidR="000D7889">
              <w:rPr>
                <w:sz w:val="22"/>
                <w:szCs w:val="22"/>
              </w:rPr>
              <w:t>9</w:t>
            </w:r>
            <w:r w:rsidRPr="00A41840">
              <w:rPr>
                <w:sz w:val="22"/>
                <w:szCs w:val="22"/>
              </w:rPr>
              <w:t>:</w:t>
            </w:r>
          </w:p>
          <w:p w:rsidR="00820A81" w:rsidP="00820A81">
            <w:pPr>
              <w:tabs>
                <w:tab w:val="left" w:pos="8640"/>
              </w:tabs>
              <w:rPr>
                <w:sz w:val="22"/>
                <w:szCs w:val="22"/>
              </w:rPr>
            </w:pPr>
          </w:p>
          <w:p w:rsidR="004C347C" w:rsidRPr="004C347C" w:rsidP="004C347C">
            <w:pPr>
              <w:tabs>
                <w:tab w:val="left" w:pos="8640"/>
              </w:tabs>
              <w:rPr>
                <w:sz w:val="22"/>
                <w:szCs w:val="22"/>
              </w:rPr>
            </w:pPr>
            <w:r w:rsidRPr="004C347C">
              <w:rPr>
                <w:b/>
                <w:bCs/>
                <w:sz w:val="22"/>
                <w:szCs w:val="22"/>
              </w:rPr>
              <w:t xml:space="preserve">Spectrum Horizons – </w:t>
            </w:r>
            <w:r w:rsidRPr="00D8142D" w:rsidR="00D8142D">
              <w:rPr>
                <w:sz w:val="22"/>
                <w:szCs w:val="22"/>
              </w:rPr>
              <w:t>The Commission will consider a First Report and Order that would adopt rules to make available 21.2 GHz of spectrum above 95 GHz for unlicensed operations and create a new class of experimental licenses for the 95 GHz to 3 THz spectrum range.  (ET Docket No. 18-21; RM-11795)</w:t>
            </w:r>
          </w:p>
          <w:p w:rsidR="004C347C" w:rsidP="00820A81">
            <w:pPr>
              <w:tabs>
                <w:tab w:val="left" w:pos="8640"/>
              </w:tabs>
              <w:rPr>
                <w:sz w:val="22"/>
                <w:szCs w:val="22"/>
              </w:rPr>
            </w:pPr>
          </w:p>
          <w:p w:rsidR="00820A81" w:rsidRPr="00AC3D6C" w:rsidP="00820A81">
            <w:pPr>
              <w:tabs>
                <w:tab w:val="left" w:pos="8640"/>
              </w:tabs>
              <w:rPr>
                <w:sz w:val="22"/>
                <w:szCs w:val="22"/>
              </w:rPr>
            </w:pPr>
            <w:r w:rsidRPr="00AC3D6C">
              <w:rPr>
                <w:b/>
                <w:bCs/>
                <w:sz w:val="22"/>
                <w:szCs w:val="22"/>
              </w:rPr>
              <w:t xml:space="preserve">Expanding Broadband </w:t>
            </w:r>
            <w:r w:rsidR="006B20C2">
              <w:rPr>
                <w:b/>
                <w:bCs/>
                <w:sz w:val="22"/>
                <w:szCs w:val="22"/>
              </w:rPr>
              <w:t>to</w:t>
            </w:r>
            <w:r w:rsidRPr="00AC3D6C">
              <w:rPr>
                <w:b/>
                <w:bCs/>
                <w:sz w:val="22"/>
                <w:szCs w:val="22"/>
              </w:rPr>
              <w:t xml:space="preserve"> the 900 MHz Band – </w:t>
            </w:r>
            <w:r w:rsidRPr="00AC3D6C">
              <w:rPr>
                <w:sz w:val="22"/>
                <w:szCs w:val="22"/>
              </w:rPr>
              <w:t>The Commission will consider a Notice of Proposed Rulemaking that would propose to reconfigure the 900 MHz band to create a broadband segment to facilitate technologies and services for a wide variety of businesses, including critical infrastructure, as well as seek comment on various transition mechanisms to achieve this goal.</w:t>
            </w:r>
            <w:r w:rsidR="007F6360">
              <w:rPr>
                <w:sz w:val="22"/>
                <w:szCs w:val="22"/>
              </w:rPr>
              <w:t xml:space="preserve"> </w:t>
            </w:r>
            <w:r w:rsidRPr="00AC3D6C">
              <w:rPr>
                <w:sz w:val="22"/>
                <w:szCs w:val="22"/>
              </w:rPr>
              <w:t xml:space="preserve"> (WT Docket No. 17-200)</w:t>
            </w:r>
          </w:p>
          <w:p w:rsidR="008F10EF" w:rsidP="00A41840">
            <w:pPr>
              <w:tabs>
                <w:tab w:val="left" w:pos="8640"/>
              </w:tabs>
              <w:rPr>
                <w:sz w:val="22"/>
                <w:szCs w:val="22"/>
              </w:rPr>
            </w:pPr>
          </w:p>
          <w:p w:rsidR="007F6360" w:rsidRPr="007F6360" w:rsidP="007F6360">
            <w:pPr>
              <w:tabs>
                <w:tab w:val="left" w:pos="8640"/>
              </w:tabs>
              <w:rPr>
                <w:sz w:val="22"/>
                <w:szCs w:val="22"/>
              </w:rPr>
            </w:pPr>
            <w:r w:rsidRPr="007F6360">
              <w:rPr>
                <w:b/>
                <w:bCs/>
                <w:sz w:val="22"/>
                <w:szCs w:val="22"/>
              </w:rPr>
              <w:t>Wireless E911 Location Accuracy Requirements</w:t>
            </w:r>
            <w:r w:rsidRPr="007F6360">
              <w:rPr>
                <w:sz w:val="22"/>
                <w:szCs w:val="22"/>
              </w:rPr>
              <w:t xml:space="preserve"> </w:t>
            </w:r>
            <w:r>
              <w:rPr>
                <w:sz w:val="22"/>
                <w:szCs w:val="22"/>
              </w:rPr>
              <w:t>–</w:t>
            </w:r>
            <w:r w:rsidRPr="007F6360">
              <w:rPr>
                <w:sz w:val="22"/>
                <w:szCs w:val="22"/>
              </w:rPr>
              <w:t xml:space="preserve"> The Commission will consider a Fourth Further Notice of Proposed Rulemaking that proposes a vertical, or z-axis, location accuracy metric in connection with wireless E911 calls.  (PS Docket No. 07-114)</w:t>
            </w:r>
          </w:p>
          <w:p w:rsidR="00820A81" w:rsidP="00A41840">
            <w:pPr>
              <w:tabs>
                <w:tab w:val="left" w:pos="8640"/>
              </w:tabs>
              <w:rPr>
                <w:sz w:val="22"/>
                <w:szCs w:val="22"/>
              </w:rPr>
            </w:pPr>
          </w:p>
          <w:p w:rsidR="00D80E26" w:rsidRPr="00D80E26" w:rsidP="00D80E26">
            <w:pPr>
              <w:tabs>
                <w:tab w:val="left" w:pos="8640"/>
              </w:tabs>
              <w:rPr>
                <w:sz w:val="22"/>
                <w:szCs w:val="22"/>
              </w:rPr>
            </w:pPr>
            <w:r w:rsidRPr="00275A3B">
              <w:rPr>
                <w:b/>
                <w:sz w:val="22"/>
                <w:szCs w:val="22"/>
              </w:rPr>
              <w:t>LPTV, TV Translator, and FM Broadcast Station Reimbursement</w:t>
            </w:r>
            <w:r w:rsidRPr="00D80E26">
              <w:rPr>
                <w:sz w:val="22"/>
                <w:szCs w:val="22"/>
              </w:rPr>
              <w:t xml:space="preserve"> </w:t>
            </w:r>
            <w:r>
              <w:rPr>
                <w:sz w:val="22"/>
                <w:szCs w:val="22"/>
              </w:rPr>
              <w:t xml:space="preserve">– </w:t>
            </w:r>
            <w:r w:rsidRPr="00D80E26">
              <w:rPr>
                <w:sz w:val="22"/>
                <w:szCs w:val="22"/>
              </w:rPr>
              <w:t>The Commission will consider a Report and Order that implements Congress’s directive in the Reimbursement Expansion Act that the Commission reimburse certain low power television, television translator, and FM broadcast stations for costs incurred as a result of the Commission’s broadcast television spectrum incentive auction.  (MB Docket No. 19-214, GN Docket No. 12-268)</w:t>
            </w:r>
          </w:p>
          <w:p w:rsidR="00D80E26" w:rsidRPr="00D80E26" w:rsidP="00D80E26">
            <w:pPr>
              <w:tabs>
                <w:tab w:val="left" w:pos="8640"/>
              </w:tabs>
              <w:rPr>
                <w:sz w:val="22"/>
                <w:szCs w:val="22"/>
              </w:rPr>
            </w:pPr>
          </w:p>
          <w:p w:rsidR="008F10EF" w:rsidP="00D80E26">
            <w:pPr>
              <w:tabs>
                <w:tab w:val="left" w:pos="8640"/>
              </w:tabs>
              <w:rPr>
                <w:sz w:val="22"/>
                <w:szCs w:val="22"/>
              </w:rPr>
            </w:pPr>
            <w:bookmarkStart w:id="1" w:name="_Hlk1722959"/>
            <w:bookmarkStart w:id="2" w:name="_Hlk1722732"/>
            <w:r>
              <w:rPr>
                <w:b/>
                <w:sz w:val="22"/>
                <w:szCs w:val="22"/>
              </w:rPr>
              <w:t>Reauthorizing Television Satellite Stations</w:t>
            </w:r>
            <w:r w:rsidR="00AC3D6C">
              <w:rPr>
                <w:sz w:val="22"/>
                <w:szCs w:val="22"/>
              </w:rPr>
              <w:t xml:space="preserve"> </w:t>
            </w:r>
            <w:bookmarkEnd w:id="1"/>
            <w:r w:rsidR="00AC3D6C">
              <w:rPr>
                <w:sz w:val="22"/>
                <w:szCs w:val="22"/>
              </w:rPr>
              <w:t xml:space="preserve">– </w:t>
            </w:r>
            <w:r w:rsidRPr="00D80E26" w:rsidR="00D80E26">
              <w:rPr>
                <w:sz w:val="22"/>
                <w:szCs w:val="22"/>
              </w:rPr>
              <w:t>The Commission will consider a Report and Order that streamlines the reauthorization process for television satellite stations when they are assigned or transferred.</w:t>
            </w:r>
            <w:r w:rsidR="00AC3D6C">
              <w:rPr>
                <w:sz w:val="22"/>
                <w:szCs w:val="22"/>
              </w:rPr>
              <w:t xml:space="preserve">  </w:t>
            </w:r>
            <w:r w:rsidRPr="00D80E26" w:rsidR="00AC3D6C">
              <w:rPr>
                <w:sz w:val="22"/>
                <w:szCs w:val="22"/>
              </w:rPr>
              <w:t>(MB Docket No</w:t>
            </w:r>
            <w:r w:rsidR="00AC3D6C">
              <w:rPr>
                <w:sz w:val="22"/>
                <w:szCs w:val="22"/>
              </w:rPr>
              <w:t>s</w:t>
            </w:r>
            <w:r w:rsidRPr="00D80E26" w:rsidR="00AC3D6C">
              <w:rPr>
                <w:sz w:val="22"/>
                <w:szCs w:val="22"/>
              </w:rPr>
              <w:t>. 18-63</w:t>
            </w:r>
            <w:r w:rsidR="00AC3D6C">
              <w:rPr>
                <w:sz w:val="22"/>
                <w:szCs w:val="22"/>
              </w:rPr>
              <w:t xml:space="preserve">, </w:t>
            </w:r>
            <w:r w:rsidRPr="00D80E26" w:rsidR="00AC3D6C">
              <w:rPr>
                <w:sz w:val="22"/>
                <w:szCs w:val="22"/>
              </w:rPr>
              <w:t>17-105</w:t>
            </w:r>
            <w:r w:rsidR="00AC3D6C">
              <w:rPr>
                <w:sz w:val="22"/>
                <w:szCs w:val="22"/>
              </w:rPr>
              <w:t>)</w:t>
            </w:r>
          </w:p>
          <w:bookmarkEnd w:id="2"/>
          <w:p w:rsidR="00820A81" w:rsidP="00820A81">
            <w:pPr>
              <w:tabs>
                <w:tab w:val="left" w:pos="8640"/>
              </w:tabs>
              <w:rPr>
                <w:sz w:val="22"/>
                <w:szCs w:val="22"/>
              </w:rPr>
            </w:pPr>
          </w:p>
          <w:p w:rsidR="00354855" w:rsidRPr="00354855" w:rsidP="00354855">
            <w:pPr>
              <w:tabs>
                <w:tab w:val="left" w:pos="8640"/>
              </w:tabs>
              <w:rPr>
                <w:sz w:val="22"/>
                <w:szCs w:val="22"/>
              </w:rPr>
            </w:pPr>
            <w:r w:rsidRPr="00354855">
              <w:rPr>
                <w:b/>
                <w:bCs/>
                <w:sz w:val="22"/>
                <w:szCs w:val="22"/>
              </w:rPr>
              <w:t>Partitioning, Disaggregation, and Leasing of Spectrum</w:t>
            </w:r>
            <w:r w:rsidRPr="00354855">
              <w:rPr>
                <w:sz w:val="22"/>
                <w:szCs w:val="22"/>
              </w:rPr>
              <w:t xml:space="preserve"> – The Commission will consider a Notice of Proposed Rulemaking that would explore how potential changes to our partitioning, disaggregation, and leasing rules might better close the digital divide and increase spectrum access by small and rural carriers, fulfilling the Commission’s requirement under the MOBILE NOW Act.</w:t>
            </w:r>
            <w:r>
              <w:rPr>
                <w:sz w:val="22"/>
                <w:szCs w:val="22"/>
              </w:rPr>
              <w:t xml:space="preserve"> </w:t>
            </w:r>
            <w:r w:rsidRPr="00354855">
              <w:rPr>
                <w:sz w:val="22"/>
                <w:szCs w:val="22"/>
              </w:rPr>
              <w:t xml:space="preserve"> (WT Docket No. 19-38)</w:t>
            </w:r>
          </w:p>
          <w:p w:rsidR="00820A81" w:rsidP="00820A81">
            <w:pPr>
              <w:tabs>
                <w:tab w:val="left" w:pos="8640"/>
              </w:tabs>
              <w:rPr>
                <w:sz w:val="22"/>
                <w:szCs w:val="22"/>
              </w:rPr>
            </w:pPr>
          </w:p>
          <w:p w:rsidR="00820A81" w:rsidRPr="00D33C99" w:rsidP="00820A81">
            <w:pPr>
              <w:tabs>
                <w:tab w:val="left" w:pos="8640"/>
              </w:tabs>
              <w:rPr>
                <w:b/>
                <w:sz w:val="22"/>
                <w:szCs w:val="22"/>
              </w:rPr>
            </w:pPr>
            <w:r w:rsidRPr="00D33C99">
              <w:rPr>
                <w:b/>
                <w:sz w:val="22"/>
                <w:szCs w:val="22"/>
              </w:rPr>
              <w:t>Rural Call Completion</w:t>
            </w:r>
            <w:r>
              <w:rPr>
                <w:b/>
                <w:sz w:val="22"/>
                <w:szCs w:val="22"/>
              </w:rPr>
              <w:t xml:space="preserve"> – </w:t>
            </w:r>
            <w:r w:rsidRPr="00D33C99">
              <w:rPr>
                <w:sz w:val="22"/>
                <w:szCs w:val="22"/>
              </w:rPr>
              <w:t>The Commission will consider a Fourth Report and Order to implement the Improving Rural Call Quality and Reliability Act of 2017 by establishing service quality standards for intermediate providers.  (WC Docket No. 13-39)</w:t>
            </w:r>
          </w:p>
          <w:p w:rsidR="00A41840" w:rsidP="00A41840">
            <w:pPr>
              <w:tabs>
                <w:tab w:val="left" w:pos="8640"/>
              </w:tabs>
              <w:rPr>
                <w:sz w:val="22"/>
                <w:szCs w:val="22"/>
              </w:rPr>
            </w:pPr>
          </w:p>
          <w:p w:rsidR="002819BC" w:rsidRPr="00A41840" w:rsidP="00A41840">
            <w:pPr>
              <w:tabs>
                <w:tab w:val="left" w:pos="8640"/>
              </w:tabs>
              <w:rPr>
                <w:sz w:val="22"/>
                <w:szCs w:val="22"/>
              </w:rPr>
            </w:pPr>
          </w:p>
          <w:p w:rsidR="00D569AA" w:rsidRPr="00D569AA" w:rsidP="00D569AA">
            <w:pPr>
              <w:tabs>
                <w:tab w:val="left" w:pos="8640"/>
              </w:tabs>
              <w:rPr>
                <w:bCs/>
                <w:sz w:val="22"/>
                <w:szCs w:val="22"/>
              </w:rPr>
            </w:pPr>
            <w:r w:rsidRPr="00D569AA">
              <w:rPr>
                <w:bCs/>
                <w:sz w:val="22"/>
                <w:szCs w:val="22"/>
              </w:rPr>
              <w:t xml:space="preserve">Public Drafts of Meeting Items – The FCC publicly releases the draft text of each item expected to be considered at the next Open Commission Meeting.  One-page cover sheets are included in the public drafts to help summarize each item.  All these materials will be available on the FCC’s Open Meeting page: </w:t>
            </w:r>
            <w:hyperlink r:id="rId5" w:history="1">
              <w:r w:rsidRPr="000B4CA4">
                <w:rPr>
                  <w:rStyle w:val="Hyperlink"/>
                  <w:sz w:val="22"/>
                  <w:szCs w:val="22"/>
                </w:rPr>
                <w:t>www.fcc.gov/openmeeting</w:t>
              </w:r>
            </w:hyperlink>
            <w:r w:rsidRPr="00D569AA">
              <w:rPr>
                <w:bCs/>
                <w:sz w:val="22"/>
                <w:szCs w:val="22"/>
              </w:rPr>
              <w:t>.</w:t>
            </w:r>
            <w:r>
              <w:rPr>
                <w:bCs/>
                <w:sz w:val="22"/>
                <w:szCs w:val="22"/>
              </w:rPr>
              <w:t xml:space="preserve"> </w:t>
            </w:r>
            <w:r w:rsidRPr="00D569AA">
              <w:rPr>
                <w:bCs/>
                <w:sz w:val="22"/>
                <w:szCs w:val="22"/>
              </w:rPr>
              <w:t xml:space="preserve"> </w:t>
            </w:r>
          </w:p>
          <w:p w:rsidR="00D569AA" w:rsidRPr="00D569AA" w:rsidP="00D569AA">
            <w:pPr>
              <w:tabs>
                <w:tab w:val="left" w:pos="8640"/>
              </w:tabs>
              <w:rPr>
                <w:bCs/>
                <w:sz w:val="22"/>
                <w:szCs w:val="22"/>
              </w:rPr>
            </w:pPr>
          </w:p>
          <w:p w:rsidR="00D569AA" w:rsidRPr="00D569AA" w:rsidP="00D569AA">
            <w:pPr>
              <w:tabs>
                <w:tab w:val="left" w:pos="8640"/>
              </w:tabs>
              <w:rPr>
                <w:bCs/>
                <w:sz w:val="22"/>
                <w:szCs w:val="22"/>
              </w:rPr>
            </w:pPr>
            <w:r w:rsidRPr="00D569AA">
              <w:rPr>
                <w:bCs/>
                <w:sz w:val="22"/>
                <w:szCs w:val="22"/>
              </w:rPr>
              <w:t xml:space="preserve">The Open Meeting is scheduled to commence at 10:30 a.m. EDT in the Commission Meeting Room (Room TW-C305) of the Federal Communications Commission, 445 12th Street, S.W., Washington, D.C.  While the Open Meeting is open to the public, the FCC headquarters building is not open access, and all guests must check in with and be screened by FCC security at the main entrance on 12th Street.  Open Meetings are streamed live at </w:t>
            </w:r>
            <w:hyperlink r:id="rId6" w:history="1">
              <w:r w:rsidRPr="000B4CA4">
                <w:rPr>
                  <w:rStyle w:val="Hyperlink"/>
                  <w:sz w:val="22"/>
                  <w:szCs w:val="22"/>
                </w:rPr>
                <w:t>www.fcc.gov/live</w:t>
              </w:r>
            </w:hyperlink>
            <w:r>
              <w:rPr>
                <w:bCs/>
                <w:sz w:val="22"/>
                <w:szCs w:val="22"/>
              </w:rPr>
              <w:t xml:space="preserve"> </w:t>
            </w:r>
            <w:r w:rsidRPr="00D569AA">
              <w:rPr>
                <w:bCs/>
                <w:sz w:val="22"/>
                <w:szCs w:val="22"/>
              </w:rPr>
              <w:t>and can be followed on social media with #OpenMtgFCC.</w:t>
            </w:r>
          </w:p>
          <w:p w:rsidR="00D569AA" w:rsidRPr="00D569AA" w:rsidP="00D569AA">
            <w:pPr>
              <w:tabs>
                <w:tab w:val="left" w:pos="8640"/>
              </w:tabs>
              <w:rPr>
                <w:bCs/>
                <w:sz w:val="22"/>
                <w:szCs w:val="22"/>
              </w:rPr>
            </w:pPr>
          </w:p>
          <w:p w:rsidR="00323539" w:rsidRPr="00D569AA" w:rsidP="00D569AA">
            <w:pPr>
              <w:tabs>
                <w:tab w:val="left" w:pos="8640"/>
              </w:tabs>
              <w:rPr>
                <w:rStyle w:val="Hyperlink"/>
                <w:bCs/>
                <w:color w:val="auto"/>
                <w:sz w:val="22"/>
                <w:szCs w:val="22"/>
                <w:u w:val="none"/>
              </w:rPr>
            </w:pPr>
            <w:r w:rsidRPr="00D569AA">
              <w:rPr>
                <w:bCs/>
                <w:sz w:val="22"/>
                <w:szCs w:val="22"/>
              </w:rPr>
              <w:t xml:space="preserve">Press Access – Members of the news media are welcome to attend the meeting and will be provided reserved seating on a first-come, first-served basis.  Following the meeting, the Chairman may hold a news conference in which he will take questions from credentialed members of the press.  Afterwards, senior policy and legal staff will be made available to the press for questions related to the items on the meeting agenda.  Commissioners may also choose to hold press conferences.  Press may also direct questions to the Office of Media Relations (OMR).  Questions about credentialing should be directed to OMR.        </w:t>
            </w:r>
            <w:r>
              <w:rPr>
                <w:sz w:val="22"/>
                <w:szCs w:val="22"/>
              </w:rPr>
              <w:t xml:space="preserve">    </w:t>
            </w:r>
          </w:p>
          <w:p w:rsidR="00BD19E8" w:rsidRPr="008A3940" w:rsidP="00E349AA">
            <w:pPr>
              <w:jc w:val="both"/>
              <w:rPr>
                <w:rStyle w:val="Hyperlink"/>
                <w:sz w:val="22"/>
                <w:szCs w:val="22"/>
              </w:rPr>
            </w:pPr>
          </w:p>
          <w:p w:rsidR="004F0F1F" w:rsidRPr="00641CD8" w:rsidP="00B47F70">
            <w:pPr>
              <w:ind w:right="72"/>
              <w:jc w:val="center"/>
              <w:rPr>
                <w:sz w:val="22"/>
                <w:szCs w:val="22"/>
              </w:rPr>
            </w:pPr>
            <w:r w:rsidRPr="00641CD8">
              <w:rPr>
                <w:sz w:val="22"/>
                <w:szCs w:val="22"/>
              </w:rPr>
              <w:t>###</w:t>
            </w:r>
          </w:p>
          <w:p w:rsidR="00473441" w:rsidRPr="0080486B" w:rsidP="00473441">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TTY: (888) 835-5322 / Twitter: @FCC / </w:t>
            </w:r>
            <w:r w:rsidRPr="0080486B">
              <w:rPr>
                <w:b/>
                <w:sz w:val="17"/>
                <w:szCs w:val="17"/>
              </w:rPr>
              <w:t>www.fcc.gov</w:t>
            </w:r>
            <w:r w:rsidRPr="0080486B">
              <w:rPr>
                <w:b/>
                <w:bCs/>
                <w:sz w:val="17"/>
                <w:szCs w:val="17"/>
              </w:rPr>
              <w:t xml:space="preserve"> </w:t>
            </w:r>
          </w:p>
          <w:p w:rsidR="00473441" w:rsidRPr="00EE0E90" w:rsidP="00473441">
            <w:pPr>
              <w:ind w:right="72"/>
              <w:jc w:val="center"/>
              <w:rPr>
                <w:b/>
                <w:bCs/>
                <w:sz w:val="18"/>
                <w:szCs w:val="18"/>
              </w:rPr>
            </w:pPr>
          </w:p>
          <w:p w:rsidR="00EE0E90" w:rsidRPr="00E644FE" w:rsidP="00473441">
            <w:pPr>
              <w:ind w:left="360" w:right="498"/>
              <w:jc w:val="center"/>
              <w:rPr>
                <w:b/>
                <w:bCs/>
                <w:sz w:val="18"/>
                <w:szCs w:val="18"/>
              </w:rPr>
            </w:pPr>
            <w:r w:rsidRPr="00EF729B">
              <w:rPr>
                <w:bCs/>
                <w:i/>
                <w:sz w:val="16"/>
                <w:szCs w:val="16"/>
              </w:rPr>
              <w:t>This is an unofficial announcement of Commission action.  Release of the full text of a Commission order constitutes official action.  See MCI v. FCC, 515 F.2d 385 (D.C. Cir. 1974).</w:t>
            </w:r>
          </w:p>
        </w:tc>
      </w:tr>
    </w:tbl>
    <w:p w:rsidR="004F0F1F">
      <w:pPr>
        <w:rPr>
          <w:b/>
          <w:bCs/>
          <w:sz w:val="32"/>
          <w:szCs w:val="32"/>
        </w:rPr>
      </w:pPr>
    </w:p>
    <w:p w:rsidR="00D24C3D">
      <w:pPr>
        <w:rPr>
          <w:b/>
          <w:bCs/>
          <w:sz w:val="32"/>
          <w:szCs w:val="32"/>
        </w:rPr>
      </w:pPr>
    </w:p>
    <w:sectPr w:rsidSect="00641CD8">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7A794115"/>
    <w:multiLevelType w:val="multilevel"/>
    <w:tmpl w:val="19728D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7F"/>
    <w:rsid w:val="0002500C"/>
    <w:rsid w:val="00026863"/>
    <w:rsid w:val="000311FC"/>
    <w:rsid w:val="00081232"/>
    <w:rsid w:val="00091E65"/>
    <w:rsid w:val="00096D4A"/>
    <w:rsid w:val="000A38EA"/>
    <w:rsid w:val="000A56AE"/>
    <w:rsid w:val="000B4CA4"/>
    <w:rsid w:val="000C1E47"/>
    <w:rsid w:val="000C26F3"/>
    <w:rsid w:val="000D7889"/>
    <w:rsid w:val="0010799B"/>
    <w:rsid w:val="00117DB2"/>
    <w:rsid w:val="00123ED2"/>
    <w:rsid w:val="00125BE0"/>
    <w:rsid w:val="00142384"/>
    <w:rsid w:val="00142C13"/>
    <w:rsid w:val="00152776"/>
    <w:rsid w:val="00153222"/>
    <w:rsid w:val="001577D3"/>
    <w:rsid w:val="001733A6"/>
    <w:rsid w:val="001865A9"/>
    <w:rsid w:val="00187DB2"/>
    <w:rsid w:val="001A0E55"/>
    <w:rsid w:val="001B20BB"/>
    <w:rsid w:val="001C4370"/>
    <w:rsid w:val="001D3779"/>
    <w:rsid w:val="001F0469"/>
    <w:rsid w:val="00203A98"/>
    <w:rsid w:val="00206EDD"/>
    <w:rsid w:val="0021247E"/>
    <w:rsid w:val="002146F6"/>
    <w:rsid w:val="00231C32"/>
    <w:rsid w:val="00240345"/>
    <w:rsid w:val="002421F0"/>
    <w:rsid w:val="00247274"/>
    <w:rsid w:val="00266966"/>
    <w:rsid w:val="00275A3B"/>
    <w:rsid w:val="002819BC"/>
    <w:rsid w:val="00294C0C"/>
    <w:rsid w:val="002A0934"/>
    <w:rsid w:val="002B1013"/>
    <w:rsid w:val="002D03E5"/>
    <w:rsid w:val="002E3F1D"/>
    <w:rsid w:val="002F31D0"/>
    <w:rsid w:val="00300359"/>
    <w:rsid w:val="0031773E"/>
    <w:rsid w:val="00323539"/>
    <w:rsid w:val="00347716"/>
    <w:rsid w:val="003506E1"/>
    <w:rsid w:val="00354855"/>
    <w:rsid w:val="00385A93"/>
    <w:rsid w:val="003910F1"/>
    <w:rsid w:val="003E42FC"/>
    <w:rsid w:val="003E5991"/>
    <w:rsid w:val="003F344A"/>
    <w:rsid w:val="00403FF0"/>
    <w:rsid w:val="0042046D"/>
    <w:rsid w:val="00425AEF"/>
    <w:rsid w:val="00426518"/>
    <w:rsid w:val="00427B06"/>
    <w:rsid w:val="00441F59"/>
    <w:rsid w:val="00444E07"/>
    <w:rsid w:val="00444FA9"/>
    <w:rsid w:val="00473441"/>
    <w:rsid w:val="00473E9C"/>
    <w:rsid w:val="00480099"/>
    <w:rsid w:val="00497858"/>
    <w:rsid w:val="004A729A"/>
    <w:rsid w:val="004B4FEA"/>
    <w:rsid w:val="004C0ADA"/>
    <w:rsid w:val="004C347C"/>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407"/>
    <w:rsid w:val="005A7972"/>
    <w:rsid w:val="005B17E7"/>
    <w:rsid w:val="005B2643"/>
    <w:rsid w:val="005B578D"/>
    <w:rsid w:val="005D17FD"/>
    <w:rsid w:val="005F0D55"/>
    <w:rsid w:val="005F183E"/>
    <w:rsid w:val="00600DDA"/>
    <w:rsid w:val="00604211"/>
    <w:rsid w:val="00613498"/>
    <w:rsid w:val="00617B94"/>
    <w:rsid w:val="00620BED"/>
    <w:rsid w:val="00632B7F"/>
    <w:rsid w:val="006415B4"/>
    <w:rsid w:val="00641CD8"/>
    <w:rsid w:val="00644E3D"/>
    <w:rsid w:val="00651B9E"/>
    <w:rsid w:val="00652019"/>
    <w:rsid w:val="00653A2D"/>
    <w:rsid w:val="00657EC9"/>
    <w:rsid w:val="00665633"/>
    <w:rsid w:val="00674C86"/>
    <w:rsid w:val="0068015E"/>
    <w:rsid w:val="006861AB"/>
    <w:rsid w:val="00686B89"/>
    <w:rsid w:val="00694685"/>
    <w:rsid w:val="006A2FC5"/>
    <w:rsid w:val="006A610A"/>
    <w:rsid w:val="006A7D75"/>
    <w:rsid w:val="006B0A70"/>
    <w:rsid w:val="006B20C2"/>
    <w:rsid w:val="006B606A"/>
    <w:rsid w:val="006C33AF"/>
    <w:rsid w:val="006D5D22"/>
    <w:rsid w:val="006E0324"/>
    <w:rsid w:val="006E4A76"/>
    <w:rsid w:val="006F1DBD"/>
    <w:rsid w:val="00700556"/>
    <w:rsid w:val="007167DD"/>
    <w:rsid w:val="0072478B"/>
    <w:rsid w:val="0073414D"/>
    <w:rsid w:val="007466A7"/>
    <w:rsid w:val="0075235E"/>
    <w:rsid w:val="00767BA3"/>
    <w:rsid w:val="007732CC"/>
    <w:rsid w:val="00774079"/>
    <w:rsid w:val="0077752B"/>
    <w:rsid w:val="00793D6F"/>
    <w:rsid w:val="00794090"/>
    <w:rsid w:val="007A44F8"/>
    <w:rsid w:val="007D21BF"/>
    <w:rsid w:val="007F3C12"/>
    <w:rsid w:val="007F5205"/>
    <w:rsid w:val="007F6360"/>
    <w:rsid w:val="0080486B"/>
    <w:rsid w:val="00820A81"/>
    <w:rsid w:val="008215E7"/>
    <w:rsid w:val="00830FC6"/>
    <w:rsid w:val="00865EAA"/>
    <w:rsid w:val="008728F5"/>
    <w:rsid w:val="0087680C"/>
    <w:rsid w:val="008824C2"/>
    <w:rsid w:val="008960E4"/>
    <w:rsid w:val="008A3940"/>
    <w:rsid w:val="008B13C9"/>
    <w:rsid w:val="008C225C"/>
    <w:rsid w:val="008C248C"/>
    <w:rsid w:val="008C5432"/>
    <w:rsid w:val="008C7BF1"/>
    <w:rsid w:val="008D00D6"/>
    <w:rsid w:val="008D4D00"/>
    <w:rsid w:val="008D4E5E"/>
    <w:rsid w:val="008D7ABD"/>
    <w:rsid w:val="008E55A2"/>
    <w:rsid w:val="008F10EF"/>
    <w:rsid w:val="008F1609"/>
    <w:rsid w:val="008F78D8"/>
    <w:rsid w:val="00922D85"/>
    <w:rsid w:val="00961620"/>
    <w:rsid w:val="009734B6"/>
    <w:rsid w:val="0098096F"/>
    <w:rsid w:val="0098437A"/>
    <w:rsid w:val="00986C92"/>
    <w:rsid w:val="00993C47"/>
    <w:rsid w:val="009A5E3A"/>
    <w:rsid w:val="009B4B16"/>
    <w:rsid w:val="009E54A1"/>
    <w:rsid w:val="009F4E25"/>
    <w:rsid w:val="009F5B1F"/>
    <w:rsid w:val="00A27E96"/>
    <w:rsid w:val="00A35DFD"/>
    <w:rsid w:val="00A41840"/>
    <w:rsid w:val="00A702DF"/>
    <w:rsid w:val="00A775A3"/>
    <w:rsid w:val="00A81B5B"/>
    <w:rsid w:val="00A82FAD"/>
    <w:rsid w:val="00A9673A"/>
    <w:rsid w:val="00A96EF2"/>
    <w:rsid w:val="00AA3AB9"/>
    <w:rsid w:val="00AA5C35"/>
    <w:rsid w:val="00AA5ED9"/>
    <w:rsid w:val="00AC3D6C"/>
    <w:rsid w:val="00AC4E0E"/>
    <w:rsid w:val="00AC517B"/>
    <w:rsid w:val="00AE4A3A"/>
    <w:rsid w:val="00AF051B"/>
    <w:rsid w:val="00B03497"/>
    <w:rsid w:val="00B037A2"/>
    <w:rsid w:val="00B03974"/>
    <w:rsid w:val="00B31870"/>
    <w:rsid w:val="00B35EE2"/>
    <w:rsid w:val="00B36DEF"/>
    <w:rsid w:val="00B47F70"/>
    <w:rsid w:val="00B57131"/>
    <w:rsid w:val="00B62F2C"/>
    <w:rsid w:val="00B727C9"/>
    <w:rsid w:val="00B735C8"/>
    <w:rsid w:val="00B767E1"/>
    <w:rsid w:val="00B76A63"/>
    <w:rsid w:val="00BA6350"/>
    <w:rsid w:val="00BB4C39"/>
    <w:rsid w:val="00BB4E29"/>
    <w:rsid w:val="00BB74C9"/>
    <w:rsid w:val="00BC3AB6"/>
    <w:rsid w:val="00BD19E8"/>
    <w:rsid w:val="00BD4273"/>
    <w:rsid w:val="00C26DBB"/>
    <w:rsid w:val="00C432E4"/>
    <w:rsid w:val="00C70C26"/>
    <w:rsid w:val="00C72001"/>
    <w:rsid w:val="00C772B7"/>
    <w:rsid w:val="00C80347"/>
    <w:rsid w:val="00CB7C1A"/>
    <w:rsid w:val="00CC5E08"/>
    <w:rsid w:val="00CF6860"/>
    <w:rsid w:val="00D02AC6"/>
    <w:rsid w:val="00D03F0C"/>
    <w:rsid w:val="00D04312"/>
    <w:rsid w:val="00D148D6"/>
    <w:rsid w:val="00D16A7F"/>
    <w:rsid w:val="00D16AD2"/>
    <w:rsid w:val="00D22596"/>
    <w:rsid w:val="00D22691"/>
    <w:rsid w:val="00D24C3D"/>
    <w:rsid w:val="00D33C99"/>
    <w:rsid w:val="00D46CB1"/>
    <w:rsid w:val="00D569AA"/>
    <w:rsid w:val="00D723F0"/>
    <w:rsid w:val="00D80E26"/>
    <w:rsid w:val="00D8133F"/>
    <w:rsid w:val="00D8142D"/>
    <w:rsid w:val="00D95B05"/>
    <w:rsid w:val="00D97E2D"/>
    <w:rsid w:val="00DA103D"/>
    <w:rsid w:val="00DA45D3"/>
    <w:rsid w:val="00DA4772"/>
    <w:rsid w:val="00DB2667"/>
    <w:rsid w:val="00DB67B7"/>
    <w:rsid w:val="00DC15A9"/>
    <w:rsid w:val="00DC40AA"/>
    <w:rsid w:val="00DD1750"/>
    <w:rsid w:val="00DD31D9"/>
    <w:rsid w:val="00E349AA"/>
    <w:rsid w:val="00E34E3F"/>
    <w:rsid w:val="00E41390"/>
    <w:rsid w:val="00E41CA0"/>
    <w:rsid w:val="00E4366B"/>
    <w:rsid w:val="00E50A4A"/>
    <w:rsid w:val="00E606DE"/>
    <w:rsid w:val="00E644FE"/>
    <w:rsid w:val="00E72733"/>
    <w:rsid w:val="00E742FA"/>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7F2FE851-E4F3-4716-BE20-E803FF38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569AA"/>
    <w:rPr>
      <w:color w:val="808080"/>
      <w:shd w:val="clear" w:color="auto" w:fill="E6E6E6"/>
    </w:rPr>
  </w:style>
  <w:style w:type="character" w:styleId="CommentReference">
    <w:name w:val="annotation reference"/>
    <w:basedOn w:val="DefaultParagraphFont"/>
    <w:semiHidden/>
    <w:unhideWhenUsed/>
    <w:rsid w:val="007F6360"/>
    <w:rPr>
      <w:sz w:val="16"/>
      <w:szCs w:val="16"/>
    </w:rPr>
  </w:style>
  <w:style w:type="paragraph" w:styleId="CommentText">
    <w:name w:val="annotation text"/>
    <w:basedOn w:val="Normal"/>
    <w:link w:val="CommentTextChar"/>
    <w:semiHidden/>
    <w:unhideWhenUsed/>
    <w:rsid w:val="007F6360"/>
    <w:rPr>
      <w:sz w:val="20"/>
      <w:szCs w:val="20"/>
    </w:rPr>
  </w:style>
  <w:style w:type="character" w:customStyle="1" w:styleId="CommentTextChar">
    <w:name w:val="Comment Text Char"/>
    <w:basedOn w:val="DefaultParagraphFont"/>
    <w:link w:val="CommentText"/>
    <w:semiHidden/>
    <w:rsid w:val="007F6360"/>
  </w:style>
  <w:style w:type="paragraph" w:styleId="CommentSubject">
    <w:name w:val="annotation subject"/>
    <w:basedOn w:val="CommentText"/>
    <w:next w:val="CommentText"/>
    <w:link w:val="CommentSubjectChar"/>
    <w:semiHidden/>
    <w:unhideWhenUsed/>
    <w:rsid w:val="007F6360"/>
    <w:rPr>
      <w:b/>
      <w:bCs/>
    </w:rPr>
  </w:style>
  <w:style w:type="character" w:customStyle="1" w:styleId="CommentSubjectChar">
    <w:name w:val="Comment Subject Char"/>
    <w:basedOn w:val="CommentTextChar"/>
    <w:link w:val="CommentSubject"/>
    <w:semiHidden/>
    <w:rsid w:val="007F6360"/>
    <w:rPr>
      <w:b/>
      <w:bCs/>
    </w:rPr>
  </w:style>
  <w:style w:type="paragraph" w:styleId="BalloonText">
    <w:name w:val="Balloon Text"/>
    <w:basedOn w:val="Normal"/>
    <w:link w:val="BalloonTextChar"/>
    <w:semiHidden/>
    <w:unhideWhenUsed/>
    <w:rsid w:val="007F6360"/>
    <w:rPr>
      <w:rFonts w:ascii="Segoe UI" w:hAnsi="Segoe UI" w:cs="Segoe UI"/>
      <w:sz w:val="18"/>
      <w:szCs w:val="18"/>
    </w:rPr>
  </w:style>
  <w:style w:type="character" w:customStyle="1" w:styleId="BalloonTextChar">
    <w:name w:val="Balloon Text Char"/>
    <w:basedOn w:val="DefaultParagraphFont"/>
    <w:link w:val="BalloonText"/>
    <w:semiHidden/>
    <w:rsid w:val="007F63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openmeeting" TargetMode="External" /><Relationship Id="rId6" Type="http://schemas.openxmlformats.org/officeDocument/2006/relationships/hyperlink" Target="http://www.fcc.gov/live"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K:\Bureaus-Offices\OMR\OMR%20Open%20Meeting%20Docs\2019%2003%20March\2019-02-22%20White%20Copy%20Notic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2019-02-22 White Copy Notice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