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9213B">
      <w:pPr>
        <w:tabs>
          <w:tab w:val="center" w:pos="4770"/>
        </w:tabs>
        <w:jc w:val="center"/>
        <w:rPr>
          <w:b/>
          <w:sz w:val="22"/>
          <w:szCs w:val="22"/>
        </w:rPr>
      </w:pPr>
      <w:bookmarkStart w:id="0" w:name="_GoBack"/>
      <w:bookmarkEnd w:id="0"/>
      <w:r>
        <w:rPr>
          <w:b/>
          <w:sz w:val="22"/>
          <w:szCs w:val="22"/>
        </w:rPr>
        <w:t>Before the</w:t>
      </w:r>
    </w:p>
    <w:p w:rsidR="0069213B">
      <w:pPr>
        <w:pStyle w:val="Heading2"/>
        <w:widowControl/>
      </w:pPr>
      <w:r>
        <w:t>Federal Communications Commission</w:t>
      </w:r>
    </w:p>
    <w:p w:rsidR="0069213B">
      <w:pPr>
        <w:pStyle w:val="Heading2"/>
        <w:widowControl/>
      </w:pPr>
      <w:r>
        <w:t>Washington, D.C. 20554</w:t>
      </w:r>
    </w:p>
    <w:p w:rsidR="0069213B">
      <w:pPr>
        <w:tabs>
          <w:tab w:val="left" w:pos="4680"/>
        </w:tabs>
        <w:jc w:val="center"/>
        <w:rPr>
          <w:sz w:val="22"/>
          <w:szCs w:val="22"/>
        </w:rPr>
      </w:pPr>
    </w:p>
    <w:p w:rsidR="0069213B">
      <w:pPr>
        <w:widowControl w:val="0"/>
        <w:pBdr>
          <w:top w:val="nil"/>
          <w:left w:val="nil"/>
          <w:bottom w:val="nil"/>
          <w:right w:val="nil"/>
          <w:between w:val="nil"/>
        </w:pBdr>
        <w:tabs>
          <w:tab w:val="left" w:pos="4680"/>
        </w:tabs>
        <w:jc w:val="both"/>
        <w:rPr>
          <w:color w:val="000000"/>
          <w:sz w:val="22"/>
          <w:szCs w:val="22"/>
        </w:rPr>
      </w:pPr>
    </w:p>
    <w:p w:rsidR="0069213B">
      <w:pPr>
        <w:widowControl w:val="0"/>
        <w:pBdr>
          <w:top w:val="nil"/>
          <w:left w:val="nil"/>
          <w:bottom w:val="nil"/>
          <w:right w:val="nil"/>
          <w:between w:val="nil"/>
        </w:pBdr>
        <w:tabs>
          <w:tab w:val="left" w:pos="4680"/>
          <w:tab w:val="left" w:pos="5760"/>
        </w:tabs>
        <w:rPr>
          <w:color w:val="000000"/>
          <w:sz w:val="22"/>
          <w:szCs w:val="22"/>
        </w:rPr>
      </w:pPr>
      <w:r>
        <w:rPr>
          <w:color w:val="000000"/>
          <w:sz w:val="22"/>
          <w:szCs w:val="22"/>
        </w:rPr>
        <w:t>In the Matter of</w:t>
      </w:r>
      <w:r>
        <w:rPr>
          <w:color w:val="000000"/>
          <w:sz w:val="22"/>
          <w:szCs w:val="22"/>
        </w:rPr>
        <w:tab/>
        <w:t>)</w:t>
      </w:r>
    </w:p>
    <w:p w:rsidR="0069213B">
      <w:pPr>
        <w:tabs>
          <w:tab w:val="left" w:pos="4680"/>
          <w:tab w:val="left" w:pos="5760"/>
        </w:tabs>
        <w:rPr>
          <w:sz w:val="22"/>
          <w:szCs w:val="22"/>
        </w:rPr>
      </w:pPr>
      <w:r>
        <w:rPr>
          <w:sz w:val="22"/>
          <w:szCs w:val="22"/>
        </w:rPr>
        <w:tab/>
        <w:t>)</w:t>
      </w:r>
    </w:p>
    <w:p w:rsidR="0069213B">
      <w:pPr>
        <w:tabs>
          <w:tab w:val="left" w:pos="4680"/>
          <w:tab w:val="left" w:pos="5400"/>
        </w:tabs>
        <w:jc w:val="both"/>
        <w:rPr>
          <w:sz w:val="22"/>
          <w:szCs w:val="22"/>
        </w:rPr>
      </w:pPr>
      <w:r w:rsidRPr="0029792E">
        <w:rPr>
          <w:sz w:val="22"/>
          <w:szCs w:val="22"/>
        </w:rPr>
        <w:t>Steckline</w:t>
      </w:r>
      <w:r w:rsidRPr="0029792E">
        <w:rPr>
          <w:sz w:val="22"/>
          <w:szCs w:val="22"/>
        </w:rPr>
        <w:t xml:space="preserve"> Communications, Inc.</w:t>
      </w:r>
      <w:r w:rsidR="00062839">
        <w:rPr>
          <w:sz w:val="22"/>
          <w:szCs w:val="22"/>
        </w:rPr>
        <w:tab/>
        <w:t>)</w:t>
      </w:r>
    </w:p>
    <w:p w:rsidR="0069213B">
      <w:pPr>
        <w:tabs>
          <w:tab w:val="left" w:pos="4680"/>
          <w:tab w:val="left" w:pos="5400"/>
        </w:tabs>
        <w:jc w:val="both"/>
        <w:rPr>
          <w:sz w:val="22"/>
          <w:szCs w:val="22"/>
        </w:rPr>
      </w:pPr>
      <w:r w:rsidRPr="0029792E">
        <w:rPr>
          <w:sz w:val="22"/>
          <w:szCs w:val="22"/>
        </w:rPr>
        <w:t>Antenna Structure Registrant</w:t>
      </w:r>
      <w:r w:rsidR="00062839">
        <w:rPr>
          <w:sz w:val="22"/>
          <w:szCs w:val="22"/>
        </w:rPr>
        <w:tab/>
        <w:t>)</w:t>
      </w:r>
      <w:r w:rsidR="00062839">
        <w:rPr>
          <w:sz w:val="22"/>
          <w:szCs w:val="22"/>
        </w:rPr>
        <w:tab/>
        <w:t xml:space="preserve">File No. </w:t>
      </w:r>
      <w:r w:rsidRPr="0029792E">
        <w:rPr>
          <w:sz w:val="22"/>
          <w:szCs w:val="22"/>
        </w:rPr>
        <w:t>EB-FIELDSCR-19-00028448</w:t>
      </w:r>
    </w:p>
    <w:p w:rsidR="0069213B">
      <w:pPr>
        <w:tabs>
          <w:tab w:val="left" w:pos="4680"/>
          <w:tab w:val="left" w:pos="6480"/>
        </w:tabs>
        <w:jc w:val="both"/>
      </w:pPr>
      <w:bookmarkStart w:id="1" w:name="_gjdgxs" w:colFirst="0" w:colLast="0"/>
      <w:bookmarkEnd w:id="1"/>
      <w:r>
        <w:rPr>
          <w:sz w:val="22"/>
          <w:szCs w:val="22"/>
        </w:rPr>
        <w:t xml:space="preserve">ASR Nos. </w:t>
      </w:r>
      <w:r w:rsidRPr="0029792E">
        <w:rPr>
          <w:sz w:val="22"/>
          <w:szCs w:val="22"/>
        </w:rPr>
        <w:t>1246959</w:t>
      </w:r>
      <w:r>
        <w:rPr>
          <w:sz w:val="22"/>
          <w:szCs w:val="22"/>
        </w:rPr>
        <w:t xml:space="preserve"> and </w:t>
      </w:r>
      <w:r w:rsidRPr="0029792E">
        <w:rPr>
          <w:sz w:val="22"/>
          <w:szCs w:val="22"/>
        </w:rPr>
        <w:t>1052490</w:t>
      </w:r>
      <w:r w:rsidR="00062839">
        <w:rPr>
          <w:sz w:val="22"/>
          <w:szCs w:val="22"/>
        </w:rPr>
        <w:tab/>
        <w:t>)</w:t>
      </w:r>
    </w:p>
    <w:p w:rsidR="0069213B">
      <w:pPr>
        <w:widowControl w:val="0"/>
        <w:pBdr>
          <w:top w:val="nil"/>
          <w:left w:val="nil"/>
          <w:bottom w:val="nil"/>
          <w:right w:val="nil"/>
          <w:between w:val="nil"/>
        </w:pBdr>
        <w:tabs>
          <w:tab w:val="left" w:pos="4680"/>
          <w:tab w:val="left" w:pos="5760"/>
        </w:tabs>
        <w:jc w:val="both"/>
        <w:rPr>
          <w:color w:val="000000"/>
          <w:sz w:val="22"/>
          <w:szCs w:val="22"/>
        </w:rPr>
      </w:pPr>
      <w:r>
        <w:rPr>
          <w:color w:val="000000"/>
          <w:sz w:val="22"/>
          <w:szCs w:val="22"/>
        </w:rPr>
        <w:tab/>
        <w:t>)</w:t>
      </w:r>
    </w:p>
    <w:p w:rsidR="0069213B">
      <w:pPr>
        <w:widowControl w:val="0"/>
        <w:pBdr>
          <w:top w:val="nil"/>
          <w:left w:val="nil"/>
          <w:bottom w:val="nil"/>
          <w:right w:val="nil"/>
          <w:between w:val="nil"/>
        </w:pBdr>
        <w:tabs>
          <w:tab w:val="left" w:pos="4680"/>
          <w:tab w:val="left" w:pos="5400"/>
        </w:tabs>
        <w:jc w:val="both"/>
        <w:rPr>
          <w:color w:val="000000"/>
          <w:sz w:val="22"/>
          <w:szCs w:val="22"/>
        </w:rPr>
      </w:pPr>
      <w:r>
        <w:rPr>
          <w:color w:val="000000"/>
          <w:sz w:val="22"/>
          <w:szCs w:val="22"/>
        </w:rPr>
        <w:tab/>
        <w:t>)</w:t>
      </w:r>
    </w:p>
    <w:p w:rsidR="0069213B">
      <w:pPr>
        <w:widowControl w:val="0"/>
        <w:pBdr>
          <w:top w:val="nil"/>
          <w:left w:val="nil"/>
          <w:bottom w:val="nil"/>
          <w:right w:val="nil"/>
          <w:between w:val="nil"/>
        </w:pBdr>
        <w:tabs>
          <w:tab w:val="left" w:pos="4680"/>
          <w:tab w:val="left" w:pos="6120"/>
        </w:tabs>
        <w:jc w:val="both"/>
        <w:rPr>
          <w:color w:val="000000"/>
          <w:sz w:val="22"/>
          <w:szCs w:val="22"/>
        </w:rPr>
      </w:pPr>
      <w:r>
        <w:rPr>
          <w:color w:val="000000"/>
          <w:sz w:val="22"/>
          <w:szCs w:val="22"/>
        </w:rPr>
        <w:tab/>
        <w:t>)</w:t>
      </w:r>
    </w:p>
    <w:p w:rsidR="0069213B">
      <w:pPr>
        <w:widowControl w:val="0"/>
        <w:pBdr>
          <w:top w:val="nil"/>
          <w:left w:val="nil"/>
          <w:bottom w:val="nil"/>
          <w:right w:val="nil"/>
          <w:between w:val="nil"/>
        </w:pBdr>
        <w:tabs>
          <w:tab w:val="left" w:pos="4680"/>
          <w:tab w:val="left" w:pos="5760"/>
        </w:tabs>
        <w:jc w:val="both"/>
        <w:rPr>
          <w:color w:val="000000"/>
          <w:sz w:val="22"/>
          <w:szCs w:val="22"/>
        </w:rPr>
      </w:pPr>
      <w:r>
        <w:rPr>
          <w:sz w:val="22"/>
          <w:szCs w:val="22"/>
        </w:rPr>
        <w:t>Guymon, Oklahoma</w:t>
      </w:r>
      <w:r w:rsidR="00062839">
        <w:rPr>
          <w:color w:val="FF0000"/>
          <w:sz w:val="22"/>
          <w:szCs w:val="22"/>
        </w:rPr>
        <w:tab/>
      </w:r>
      <w:r w:rsidR="00062839">
        <w:rPr>
          <w:color w:val="000000"/>
          <w:sz w:val="22"/>
          <w:szCs w:val="22"/>
        </w:rPr>
        <w:t>)</w:t>
      </w:r>
    </w:p>
    <w:p w:rsidR="0069213B">
      <w:pPr>
        <w:tabs>
          <w:tab w:val="center" w:pos="4680"/>
          <w:tab w:val="left" w:pos="5760"/>
        </w:tabs>
        <w:jc w:val="both"/>
        <w:rPr>
          <w:sz w:val="22"/>
          <w:szCs w:val="22"/>
        </w:rPr>
      </w:pPr>
    </w:p>
    <w:p w:rsidR="0069213B">
      <w:pPr>
        <w:tabs>
          <w:tab w:val="center" w:pos="4680"/>
          <w:tab w:val="left" w:pos="5760"/>
        </w:tabs>
        <w:jc w:val="both"/>
        <w:rPr>
          <w:sz w:val="22"/>
          <w:szCs w:val="22"/>
        </w:rPr>
      </w:pPr>
    </w:p>
    <w:p w:rsidR="0069213B">
      <w:pPr>
        <w:pStyle w:val="Title"/>
        <w:tabs>
          <w:tab w:val="left" w:pos="5760"/>
        </w:tabs>
        <w:rPr>
          <w:sz w:val="22"/>
          <w:szCs w:val="22"/>
        </w:rPr>
      </w:pPr>
      <w:r>
        <w:rPr>
          <w:sz w:val="22"/>
          <w:szCs w:val="22"/>
        </w:rPr>
        <w:t>NOTICE OF VIOLATION</w:t>
      </w:r>
    </w:p>
    <w:p w:rsidR="0069213B" w:rsidP="003945D5">
      <w:pPr>
        <w:pStyle w:val="Subtitle"/>
        <w:jc w:val="left"/>
      </w:pPr>
      <w:r>
        <w:tab/>
        <w:t xml:space="preserve">Released:  </w:t>
      </w:r>
      <w:r w:rsidR="00046AC3">
        <w:t>March 4, 2019</w:t>
      </w:r>
    </w:p>
    <w:p w:rsidR="0069213B">
      <w:pPr>
        <w:tabs>
          <w:tab w:val="left" w:pos="5760"/>
        </w:tabs>
        <w:rPr>
          <w:sz w:val="22"/>
          <w:szCs w:val="22"/>
        </w:rPr>
      </w:pPr>
    </w:p>
    <w:p w:rsidR="0069213B">
      <w:pPr>
        <w:rPr>
          <w:sz w:val="22"/>
          <w:szCs w:val="22"/>
        </w:rPr>
      </w:pPr>
      <w:r>
        <w:rPr>
          <w:sz w:val="22"/>
          <w:szCs w:val="22"/>
        </w:rPr>
        <w:t>By the Regional Director, Region Two, Enforcement Bureau:</w:t>
      </w:r>
    </w:p>
    <w:p w:rsidR="0069213B">
      <w:pPr>
        <w:widowControl w:val="0"/>
        <w:pBdr>
          <w:top w:val="nil"/>
          <w:left w:val="nil"/>
          <w:bottom w:val="nil"/>
          <w:right w:val="nil"/>
          <w:between w:val="nil"/>
        </w:pBdr>
        <w:rPr>
          <w:color w:val="000000"/>
          <w:sz w:val="22"/>
          <w:szCs w:val="22"/>
        </w:rPr>
      </w:pPr>
    </w:p>
    <w:p w:rsidR="0069213B">
      <w:pPr>
        <w:widowControl w:val="0"/>
        <w:pBdr>
          <w:top w:val="nil"/>
          <w:left w:val="nil"/>
          <w:bottom w:val="nil"/>
          <w:right w:val="nil"/>
          <w:between w:val="nil"/>
        </w:pBdr>
        <w:rPr>
          <w:color w:val="000000"/>
          <w:sz w:val="22"/>
          <w:szCs w:val="22"/>
        </w:rPr>
      </w:pPr>
    </w:p>
    <w:p w:rsidR="0069213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This is a Notice of Violation (Notice) issued pursuant to Section 1.89 of the Commission’s rules (Rules),</w:t>
      </w:r>
      <w:r>
        <w:rPr>
          <w:color w:val="000000"/>
          <w:sz w:val="22"/>
          <w:szCs w:val="22"/>
          <w:vertAlign w:val="superscript"/>
        </w:rPr>
        <w:footnoteReference w:id="2"/>
      </w:r>
      <w:r>
        <w:rPr>
          <w:color w:val="000000"/>
          <w:sz w:val="22"/>
          <w:szCs w:val="22"/>
        </w:rPr>
        <w:t xml:space="preserve"> to</w:t>
      </w:r>
      <w:r>
        <w:rPr>
          <w:sz w:val="22"/>
          <w:szCs w:val="22"/>
        </w:rPr>
        <w:t xml:space="preserve"> </w:t>
      </w:r>
      <w:r w:rsidRPr="0029792E" w:rsidR="005B7987">
        <w:rPr>
          <w:sz w:val="22"/>
          <w:szCs w:val="22"/>
        </w:rPr>
        <w:t>Steckline</w:t>
      </w:r>
      <w:r w:rsidRPr="0029792E" w:rsidR="005B7987">
        <w:rPr>
          <w:sz w:val="22"/>
          <w:szCs w:val="22"/>
        </w:rPr>
        <w:t xml:space="preserve"> Communications, Inc</w:t>
      </w:r>
      <w:r w:rsidR="007F165B">
        <w:rPr>
          <w:sz w:val="22"/>
          <w:szCs w:val="22"/>
        </w:rPr>
        <w:t>.</w:t>
      </w:r>
      <w:r w:rsidR="005B7987">
        <w:rPr>
          <w:color w:val="000000"/>
          <w:sz w:val="22"/>
          <w:szCs w:val="22"/>
        </w:rPr>
        <w:t xml:space="preserve">, </w:t>
      </w:r>
      <w:r w:rsidR="005B7987">
        <w:rPr>
          <w:sz w:val="22"/>
          <w:szCs w:val="22"/>
        </w:rPr>
        <w:t xml:space="preserve">owner of </w:t>
      </w:r>
      <w:r w:rsidR="00D3514B">
        <w:rPr>
          <w:sz w:val="22"/>
          <w:szCs w:val="22"/>
        </w:rPr>
        <w:t xml:space="preserve">two </w:t>
      </w:r>
      <w:r w:rsidR="005B7987">
        <w:rPr>
          <w:sz w:val="22"/>
          <w:szCs w:val="22"/>
        </w:rPr>
        <w:t>antenna structure</w:t>
      </w:r>
      <w:r w:rsidR="00D3514B">
        <w:rPr>
          <w:sz w:val="22"/>
          <w:szCs w:val="22"/>
        </w:rPr>
        <w:t xml:space="preserve">s registered under Antenna Structure Registration (ASR) Nos. </w:t>
      </w:r>
      <w:r w:rsidR="005B7987">
        <w:rPr>
          <w:sz w:val="22"/>
          <w:szCs w:val="22"/>
        </w:rPr>
        <w:t xml:space="preserve"> 1246959 and 1052490 </w:t>
      </w:r>
      <w:r>
        <w:rPr>
          <w:color w:val="000000"/>
          <w:sz w:val="22"/>
          <w:szCs w:val="22"/>
        </w:rPr>
        <w:t xml:space="preserve">in </w:t>
      </w:r>
      <w:r w:rsidR="005B7987">
        <w:rPr>
          <w:sz w:val="22"/>
          <w:szCs w:val="22"/>
        </w:rPr>
        <w:t>Guymon, Oklahoma</w:t>
      </w:r>
      <w:r>
        <w:rPr>
          <w:color w:val="000000"/>
          <w:sz w:val="22"/>
          <w:szCs w:val="22"/>
        </w:rPr>
        <w:t>.  Pursuant to Section 1.89(a) of the Rules, issuance of this Notice does not preclude the Enforcement Bureau from further action if warranted, including issuing a Notice of Apparent Liability for Forfeiture for the violation(s) noted herein.</w:t>
      </w:r>
      <w:r>
        <w:rPr>
          <w:color w:val="000000"/>
          <w:vertAlign w:val="superscript"/>
        </w:rPr>
        <w:footnoteReference w:id="3"/>
      </w:r>
    </w:p>
    <w:p w:rsidR="0069213B">
      <w:pPr>
        <w:rPr>
          <w:color w:val="000000"/>
          <w:sz w:val="22"/>
          <w:szCs w:val="22"/>
        </w:rPr>
      </w:pPr>
    </w:p>
    <w:p w:rsidR="008B5B4E" w:rsidP="008B5B4E">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On </w:t>
      </w:r>
      <w:r w:rsidR="005B7987">
        <w:rPr>
          <w:sz w:val="22"/>
          <w:szCs w:val="22"/>
        </w:rPr>
        <w:t>January 28, 201</w:t>
      </w:r>
      <w:r w:rsidR="00A04C10">
        <w:rPr>
          <w:sz w:val="22"/>
          <w:szCs w:val="22"/>
        </w:rPr>
        <w:t>9</w:t>
      </w:r>
      <w:r w:rsidR="005B7987">
        <w:rPr>
          <w:sz w:val="22"/>
          <w:szCs w:val="22"/>
        </w:rPr>
        <w:t xml:space="preserve">, </w:t>
      </w:r>
      <w:r w:rsidR="009C009D">
        <w:rPr>
          <w:sz w:val="22"/>
          <w:szCs w:val="22"/>
        </w:rPr>
        <w:t>A</w:t>
      </w:r>
      <w:r w:rsidR="005B7987">
        <w:rPr>
          <w:color w:val="000000"/>
          <w:sz w:val="22"/>
          <w:szCs w:val="22"/>
        </w:rPr>
        <w:t>gent</w:t>
      </w:r>
      <w:r>
        <w:rPr>
          <w:color w:val="000000"/>
          <w:sz w:val="22"/>
          <w:szCs w:val="22"/>
        </w:rPr>
        <w:t xml:space="preserve"> of the Enforcement Bureau’s </w:t>
      </w:r>
      <w:r w:rsidR="00A04C10">
        <w:rPr>
          <w:sz w:val="22"/>
          <w:szCs w:val="22"/>
        </w:rPr>
        <w:t>Dallas</w:t>
      </w:r>
      <w:r w:rsidR="00A04C10">
        <w:rPr>
          <w:color w:val="000000"/>
          <w:sz w:val="22"/>
          <w:szCs w:val="22"/>
        </w:rPr>
        <w:t xml:space="preserve"> </w:t>
      </w:r>
      <w:r>
        <w:rPr>
          <w:color w:val="000000"/>
          <w:sz w:val="22"/>
          <w:szCs w:val="22"/>
        </w:rPr>
        <w:t>Office investigated and found the following violation</w:t>
      </w:r>
      <w:r>
        <w:rPr>
          <w:color w:val="000000"/>
          <w:sz w:val="22"/>
          <w:szCs w:val="22"/>
        </w:rPr>
        <w:t>s:</w:t>
      </w:r>
    </w:p>
    <w:p w:rsidR="008B5B4E" w:rsidRPr="00046AC3" w:rsidP="00046AC3">
      <w:pPr>
        <w:widowControl w:val="0"/>
        <w:pBdr>
          <w:top w:val="nil"/>
          <w:left w:val="nil"/>
          <w:bottom w:val="nil"/>
          <w:right w:val="nil"/>
          <w:between w:val="nil"/>
        </w:pBdr>
        <w:rPr>
          <w:color w:val="000000"/>
          <w:sz w:val="22"/>
          <w:szCs w:val="22"/>
        </w:rPr>
      </w:pPr>
    </w:p>
    <w:p w:rsidR="0069213B" w:rsidP="00046AC3">
      <w:pPr>
        <w:widowControl w:val="0"/>
        <w:numPr>
          <w:ilvl w:val="1"/>
          <w:numId w:val="1"/>
        </w:numPr>
        <w:pBdr>
          <w:top w:val="nil"/>
          <w:left w:val="nil"/>
          <w:bottom w:val="nil"/>
          <w:right w:val="nil"/>
          <w:between w:val="nil"/>
        </w:pBdr>
        <w:ind w:left="2160"/>
        <w:rPr>
          <w:sz w:val="22"/>
          <w:szCs w:val="22"/>
        </w:rPr>
      </w:pPr>
      <w:bookmarkStart w:id="2" w:name="_30j0zll" w:colFirst="0" w:colLast="0"/>
      <w:bookmarkEnd w:id="2"/>
      <w:r w:rsidRPr="009C009D">
        <w:rPr>
          <w:sz w:val="22"/>
          <w:szCs w:val="22"/>
        </w:rPr>
        <w:t>47 C.F.R. § 17.48: “The owner of any antenna structure which is registered with the Commission and has been assigned lighting specifications referenced in this part: (a) Shall report immediately to the FAA, by means acceptable to the FAA, any observed or otherwise known extinguishment or improper functioning of any top steady burning light or any flashing obstruction light, regardless of its position on the antenna structure, not corrected within 30 minutes. If the lights cannot be repaired within the FAA's Notices to Airmen (NOTAM) period, the owner shall notify the FAA to extend the outage date and report a return-to-service date.”</w:t>
      </w:r>
      <w:r>
        <w:rPr>
          <w:sz w:val="22"/>
          <w:szCs w:val="22"/>
        </w:rPr>
        <w:t xml:space="preserve">  </w:t>
      </w:r>
      <w:r w:rsidR="00B911A1">
        <w:rPr>
          <w:sz w:val="22"/>
          <w:szCs w:val="22"/>
        </w:rPr>
        <w:t xml:space="preserve"> </w:t>
      </w:r>
      <w:r w:rsidRPr="00D3514B" w:rsidR="00D3514B">
        <w:rPr>
          <w:sz w:val="22"/>
          <w:szCs w:val="22"/>
        </w:rPr>
        <w:t xml:space="preserve">ASR Nos. 1246959 and 1052490 </w:t>
      </w:r>
      <w:r w:rsidR="00D3514B">
        <w:rPr>
          <w:sz w:val="22"/>
          <w:szCs w:val="22"/>
        </w:rPr>
        <w:t xml:space="preserve">each require top-level flashing </w:t>
      </w:r>
      <w:r w:rsidR="00D3514B">
        <w:rPr>
          <w:sz w:val="22"/>
          <w:szCs w:val="22"/>
        </w:rPr>
        <w:t xml:space="preserve">red beacons at the top of the antenna structures.  </w:t>
      </w:r>
      <w:r>
        <w:rPr>
          <w:sz w:val="22"/>
          <w:szCs w:val="22"/>
        </w:rPr>
        <w:t xml:space="preserve">At the time of inspection, </w:t>
      </w:r>
      <w:r w:rsidR="007F165B">
        <w:rPr>
          <w:sz w:val="22"/>
          <w:szCs w:val="22"/>
        </w:rPr>
        <w:t xml:space="preserve">the top-level flashing red beacons on </w:t>
      </w:r>
      <w:r w:rsidR="00D3514B">
        <w:rPr>
          <w:sz w:val="22"/>
          <w:szCs w:val="22"/>
        </w:rPr>
        <w:t>the a</w:t>
      </w:r>
      <w:r w:rsidR="007F165B">
        <w:rPr>
          <w:sz w:val="22"/>
          <w:szCs w:val="22"/>
        </w:rPr>
        <w:t xml:space="preserve">ntenna </w:t>
      </w:r>
      <w:r w:rsidR="00D3514B">
        <w:rPr>
          <w:sz w:val="22"/>
          <w:szCs w:val="22"/>
        </w:rPr>
        <w:t>s</w:t>
      </w:r>
      <w:r w:rsidR="007F165B">
        <w:rPr>
          <w:sz w:val="22"/>
          <w:szCs w:val="22"/>
        </w:rPr>
        <w:t xml:space="preserve">tructures </w:t>
      </w:r>
      <w:r w:rsidR="00D3514B">
        <w:rPr>
          <w:sz w:val="22"/>
          <w:szCs w:val="22"/>
        </w:rPr>
        <w:t xml:space="preserve">registered under ASR Nos. </w:t>
      </w:r>
      <w:r w:rsidR="007F165B">
        <w:rPr>
          <w:sz w:val="22"/>
          <w:szCs w:val="22"/>
        </w:rPr>
        <w:t>1246959 and 1052490 were extinguished.</w:t>
      </w:r>
      <w:r w:rsidR="00D62447">
        <w:rPr>
          <w:sz w:val="22"/>
          <w:szCs w:val="22"/>
        </w:rPr>
        <w:t xml:space="preserve">  On February 12, 2019, the Agent called </w:t>
      </w:r>
      <w:r w:rsidR="00A04C10">
        <w:rPr>
          <w:sz w:val="22"/>
          <w:szCs w:val="22"/>
        </w:rPr>
        <w:t xml:space="preserve">the FAA </w:t>
      </w:r>
      <w:r w:rsidR="00D62447">
        <w:rPr>
          <w:sz w:val="22"/>
          <w:szCs w:val="22"/>
        </w:rPr>
        <w:t xml:space="preserve">and verified </w:t>
      </w:r>
      <w:r w:rsidR="00A04C10">
        <w:rPr>
          <w:sz w:val="22"/>
          <w:szCs w:val="22"/>
        </w:rPr>
        <w:t xml:space="preserve">that </w:t>
      </w:r>
      <w:r w:rsidR="00D62447">
        <w:rPr>
          <w:sz w:val="22"/>
          <w:szCs w:val="22"/>
        </w:rPr>
        <w:t xml:space="preserve">no NOTAM was issued for </w:t>
      </w:r>
      <w:r w:rsidR="00A04C10">
        <w:rPr>
          <w:sz w:val="22"/>
          <w:szCs w:val="22"/>
        </w:rPr>
        <w:t>either antenna structure</w:t>
      </w:r>
      <w:r w:rsidR="00D62447">
        <w:rPr>
          <w:sz w:val="22"/>
          <w:szCs w:val="22"/>
        </w:rPr>
        <w:t>.</w:t>
      </w:r>
      <w:r w:rsidR="00062839">
        <w:rPr>
          <w:sz w:val="22"/>
          <w:szCs w:val="22"/>
        </w:rPr>
        <w:br/>
      </w:r>
    </w:p>
    <w:p w:rsidR="0069213B">
      <w:pPr>
        <w:rPr>
          <w:sz w:val="22"/>
          <w:szCs w:val="22"/>
        </w:rPr>
      </w:pPr>
    </w:p>
    <w:p w:rsidR="0069213B">
      <w:pPr>
        <w:numPr>
          <w:ilvl w:val="0"/>
          <w:numId w:val="1"/>
        </w:numPr>
        <w:ind w:left="0" w:firstLine="720"/>
        <w:rPr>
          <w:color w:val="000000"/>
          <w:sz w:val="22"/>
          <w:szCs w:val="22"/>
        </w:rPr>
      </w:pPr>
      <w:r>
        <w:rPr>
          <w:sz w:val="22"/>
          <w:szCs w:val="22"/>
        </w:rPr>
        <w:t xml:space="preserve">Pursuant to Section </w:t>
      </w:r>
      <w:r w:rsidR="0012557B">
        <w:rPr>
          <w:sz w:val="22"/>
          <w:szCs w:val="22"/>
        </w:rPr>
        <w:t>403</w:t>
      </w:r>
      <w:r>
        <w:rPr>
          <w:sz w:val="22"/>
          <w:szCs w:val="22"/>
        </w:rPr>
        <w:t xml:space="preserve"> of the Communications Act of 1934, as amended,</w:t>
      </w:r>
      <w:r>
        <w:rPr>
          <w:sz w:val="22"/>
          <w:szCs w:val="22"/>
          <w:vertAlign w:val="superscript"/>
        </w:rPr>
        <w:footnoteReference w:id="4"/>
      </w:r>
      <w:r>
        <w:rPr>
          <w:sz w:val="22"/>
          <w:szCs w:val="22"/>
        </w:rPr>
        <w:t xml:space="preserve"> and Section 1.89 of the Rules, we seek additional information concerning the violations and any remedia</w:t>
      </w:r>
      <w:r w:rsidR="007F165B">
        <w:rPr>
          <w:sz w:val="22"/>
          <w:szCs w:val="22"/>
        </w:rPr>
        <w:t xml:space="preserve">l actions taken.  Therefore, </w:t>
      </w:r>
      <w:r w:rsidRPr="0029792E" w:rsidR="007F165B">
        <w:rPr>
          <w:sz w:val="22"/>
          <w:szCs w:val="22"/>
        </w:rPr>
        <w:t>Steckline</w:t>
      </w:r>
      <w:r w:rsidRPr="0029792E" w:rsidR="007F165B">
        <w:rPr>
          <w:sz w:val="22"/>
          <w:szCs w:val="22"/>
        </w:rPr>
        <w:t xml:space="preserve"> Communications, Inc</w:t>
      </w:r>
      <w:r w:rsidR="007F165B">
        <w:rPr>
          <w:sz w:val="22"/>
          <w:szCs w:val="22"/>
        </w:rPr>
        <w:t>., must</w:t>
      </w:r>
      <w:r>
        <w:rPr>
          <w:sz w:val="22"/>
          <w:szCs w:val="22"/>
        </w:rPr>
        <w:t xml:space="preserve">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in itself</w:t>
      </w:r>
      <w:r>
        <w:rPr>
          <w:color w:val="800080"/>
          <w:sz w:val="22"/>
          <w:szCs w:val="22"/>
        </w:rPr>
        <w:t xml:space="preserve"> </w:t>
      </w:r>
      <w:r>
        <w:rPr>
          <w:sz w:val="22"/>
          <w:szCs w:val="22"/>
        </w:rPr>
        <w:t>and must not be abbreviated by reference to other communications or answers to other notices.</w:t>
      </w:r>
      <w:r>
        <w:rPr>
          <w:sz w:val="22"/>
          <w:szCs w:val="22"/>
          <w:vertAlign w:val="superscript"/>
        </w:rPr>
        <w:footnoteReference w:id="5"/>
      </w:r>
      <w:r>
        <w:rPr>
          <w:sz w:val="22"/>
          <w:szCs w:val="22"/>
        </w:rPr>
        <w:t xml:space="preserve">  </w:t>
      </w:r>
    </w:p>
    <w:p w:rsidR="0069213B">
      <w:pPr>
        <w:widowControl w:val="0"/>
        <w:pBdr>
          <w:top w:val="nil"/>
          <w:left w:val="nil"/>
          <w:bottom w:val="nil"/>
          <w:right w:val="nil"/>
          <w:between w:val="nil"/>
        </w:pBdr>
        <w:rPr>
          <w:color w:val="000000"/>
          <w:sz w:val="22"/>
          <w:szCs w:val="22"/>
        </w:rPr>
      </w:pPr>
    </w:p>
    <w:p w:rsidR="0069213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 xml:space="preserve">In accordance with Section 1.16 of the Rules, we direct </w:t>
      </w:r>
      <w:r w:rsidRPr="0029792E" w:rsidR="007F165B">
        <w:rPr>
          <w:sz w:val="22"/>
          <w:szCs w:val="22"/>
        </w:rPr>
        <w:t>Steckline</w:t>
      </w:r>
      <w:r w:rsidRPr="0029792E" w:rsidR="007F165B">
        <w:rPr>
          <w:sz w:val="22"/>
          <w:szCs w:val="22"/>
        </w:rPr>
        <w:t xml:space="preserve"> Communications, Inc</w:t>
      </w:r>
      <w:r w:rsidR="007F165B">
        <w:rPr>
          <w:sz w:val="22"/>
          <w:szCs w:val="22"/>
        </w:rPr>
        <w:t>.</w:t>
      </w:r>
      <w:r>
        <w:rPr>
          <w:color w:val="000000"/>
          <w:sz w:val="22"/>
          <w:szCs w:val="22"/>
        </w:rPr>
        <w:t xml:space="preserve"> to support its response to this Notice with an affidavit or declaration under penalty of perjury, signed and dated by an authorized officer of </w:t>
      </w:r>
      <w:r w:rsidRPr="0029792E" w:rsidR="007F165B">
        <w:rPr>
          <w:sz w:val="22"/>
          <w:szCs w:val="22"/>
        </w:rPr>
        <w:t>Steckline</w:t>
      </w:r>
      <w:r w:rsidRPr="0029792E" w:rsidR="007F165B">
        <w:rPr>
          <w:sz w:val="22"/>
          <w:szCs w:val="22"/>
        </w:rPr>
        <w:t xml:space="preserve"> Communications, Inc</w:t>
      </w:r>
      <w:r w:rsidR="007F165B">
        <w:rPr>
          <w:sz w:val="22"/>
          <w:szCs w:val="22"/>
        </w:rPr>
        <w:t>.</w:t>
      </w:r>
      <w:r>
        <w:rPr>
          <w:color w:val="000000"/>
          <w:sz w:val="22"/>
          <w:szCs w:val="22"/>
        </w:rPr>
        <w:t xml:space="preserve"> with personal knowledge of the representations provided in </w:t>
      </w:r>
      <w:r w:rsidRPr="0029792E" w:rsidR="00282835">
        <w:rPr>
          <w:sz w:val="22"/>
          <w:szCs w:val="22"/>
        </w:rPr>
        <w:t>Steckline</w:t>
      </w:r>
      <w:r w:rsidRPr="0029792E" w:rsidR="00282835">
        <w:rPr>
          <w:sz w:val="22"/>
          <w:szCs w:val="22"/>
        </w:rPr>
        <w:t xml:space="preserve"> Communications, Inc</w:t>
      </w:r>
      <w:r w:rsidR="00282835">
        <w:rPr>
          <w:sz w:val="22"/>
          <w:szCs w:val="22"/>
        </w:rPr>
        <w:t>.</w:t>
      </w:r>
      <w:r>
        <w:rPr>
          <w:color w:val="000000"/>
          <w:sz w:val="22"/>
          <w:szCs w:val="22"/>
        </w:rPr>
        <w:t>’s response, verifying the truth and accuracy of the information therein,</w:t>
      </w:r>
      <w:r>
        <w:rPr>
          <w:color w:val="000000"/>
          <w:vertAlign w:val="superscript"/>
        </w:rPr>
        <w:footnoteReference w:id="6"/>
      </w:r>
      <w:r>
        <w:rPr>
          <w:color w:val="000000"/>
          <w:sz w:val="22"/>
          <w:szCs w:val="22"/>
        </w:rPr>
        <w:t xml:space="preserve"> and confirming that all of the information requested by this Notice which is in </w:t>
      </w:r>
      <w:r w:rsidR="008B5B4E">
        <w:rPr>
          <w:color w:val="000000"/>
          <w:sz w:val="22"/>
          <w:szCs w:val="22"/>
        </w:rPr>
        <w:t>Steckline</w:t>
      </w:r>
      <w:r w:rsidR="008B5B4E">
        <w:rPr>
          <w:color w:val="000000"/>
          <w:sz w:val="22"/>
          <w:szCs w:val="22"/>
        </w:rPr>
        <w:t xml:space="preserve"> Communications, Inc.’s</w:t>
      </w:r>
      <w:r>
        <w:rPr>
          <w:color w:val="000000"/>
          <w:sz w:val="22"/>
          <w:szCs w:val="22"/>
        </w:rPr>
        <w:t xml:space="preserve"> possession, custody, control, or knowledge has been produced.</w:t>
      </w:r>
      <w:r>
        <w:rPr>
          <w:color w:val="000000"/>
          <w:sz w:val="22"/>
          <w:szCs w:val="22"/>
          <w:vertAlign w:val="superscript"/>
        </w:rPr>
        <w:footnoteReference w:id="7"/>
      </w:r>
      <w:r w:rsidR="008B5B4E">
        <w:rPr>
          <w:color w:val="000000"/>
          <w:sz w:val="22"/>
          <w:szCs w:val="22"/>
        </w:rPr>
        <w:t xml:space="preserve"> </w:t>
      </w:r>
      <w:r>
        <w:rPr>
          <w:color w:val="000000"/>
          <w:sz w:val="22"/>
          <w:szCs w:val="22"/>
        </w:rPr>
        <w:t xml:space="preserve">  To knowingly and willfully make any false statement or conceal any material fact in reply to this Notice is punishable by fine or imprisonment under Title 18 of the U.S. Code.</w:t>
      </w:r>
      <w:r>
        <w:rPr>
          <w:color w:val="800080"/>
          <w:sz w:val="22"/>
          <w:szCs w:val="22"/>
        </w:rPr>
        <w:t xml:space="preserve"> </w:t>
      </w:r>
    </w:p>
    <w:p w:rsidR="0069213B">
      <w:pPr>
        <w:widowControl w:val="0"/>
        <w:pBdr>
          <w:top w:val="nil"/>
          <w:left w:val="nil"/>
          <w:bottom w:val="nil"/>
          <w:right w:val="nil"/>
          <w:between w:val="nil"/>
        </w:pBdr>
        <w:rPr>
          <w:color w:val="000000"/>
          <w:sz w:val="22"/>
          <w:szCs w:val="22"/>
          <w:highlight w:val="yellow"/>
        </w:rPr>
      </w:pPr>
    </w:p>
    <w:p w:rsidR="0069213B">
      <w:pPr>
        <w:widowControl w:val="0"/>
        <w:numPr>
          <w:ilvl w:val="0"/>
          <w:numId w:val="1"/>
        </w:numPr>
        <w:pBdr>
          <w:top w:val="nil"/>
          <w:left w:val="nil"/>
          <w:bottom w:val="nil"/>
          <w:right w:val="nil"/>
          <w:between w:val="nil"/>
        </w:pBdr>
        <w:ind w:left="0" w:firstLine="720"/>
        <w:rPr>
          <w:color w:val="000000"/>
          <w:sz w:val="22"/>
          <w:szCs w:val="22"/>
        </w:rPr>
      </w:pPr>
      <w:r>
        <w:rPr>
          <w:color w:val="000000"/>
          <w:sz w:val="22"/>
          <w:szCs w:val="22"/>
        </w:rPr>
        <w:t>All replies and documentation sent in response to this Notice should be marked with the File No. specified above, and mailed and emailed to the following address:</w:t>
      </w:r>
    </w:p>
    <w:p w:rsidR="0069213B">
      <w:pPr>
        <w:rPr>
          <w:sz w:val="22"/>
          <w:szCs w:val="22"/>
        </w:rPr>
      </w:pPr>
    </w:p>
    <w:p w:rsidR="0069213B">
      <w:pPr>
        <w:keepNext/>
        <w:keepLines/>
        <w:ind w:left="2520"/>
        <w:rPr>
          <w:sz w:val="22"/>
          <w:szCs w:val="22"/>
        </w:rPr>
      </w:pPr>
      <w:r>
        <w:rPr>
          <w:sz w:val="22"/>
          <w:szCs w:val="22"/>
        </w:rPr>
        <w:t>Federal Communications Commission</w:t>
      </w:r>
    </w:p>
    <w:p w:rsidR="0069213B">
      <w:pPr>
        <w:keepNext/>
        <w:keepLines/>
        <w:ind w:left="2520"/>
        <w:rPr>
          <w:sz w:val="22"/>
          <w:szCs w:val="22"/>
        </w:rPr>
      </w:pPr>
      <w:r>
        <w:rPr>
          <w:sz w:val="22"/>
          <w:szCs w:val="22"/>
        </w:rPr>
        <w:t>Atlanta Regional Office</w:t>
      </w:r>
    </w:p>
    <w:p w:rsidR="0069213B">
      <w:pPr>
        <w:keepNext/>
        <w:keepLines/>
        <w:ind w:left="2520"/>
        <w:rPr>
          <w:sz w:val="22"/>
          <w:szCs w:val="22"/>
        </w:rPr>
      </w:pPr>
      <w:r>
        <w:rPr>
          <w:sz w:val="22"/>
          <w:szCs w:val="22"/>
        </w:rPr>
        <w:t>P.O. Box 1493</w:t>
      </w:r>
    </w:p>
    <w:p w:rsidR="0069213B">
      <w:pPr>
        <w:keepNext/>
        <w:keepLines/>
        <w:ind w:left="2520"/>
        <w:rPr>
          <w:sz w:val="22"/>
          <w:szCs w:val="22"/>
        </w:rPr>
      </w:pPr>
      <w:r>
        <w:rPr>
          <w:sz w:val="22"/>
          <w:szCs w:val="22"/>
        </w:rPr>
        <w:t>Powder Springs, GA 30127</w:t>
      </w:r>
    </w:p>
    <w:p w:rsidR="0069213B">
      <w:pPr>
        <w:keepNext/>
        <w:keepLines/>
        <w:ind w:left="2520"/>
        <w:rPr>
          <w:sz w:val="22"/>
          <w:szCs w:val="22"/>
        </w:rPr>
      </w:pPr>
      <w:r>
        <w:rPr>
          <w:sz w:val="22"/>
          <w:szCs w:val="22"/>
        </w:rPr>
        <w:t>FIELD@FCC.GOV</w:t>
      </w:r>
    </w:p>
    <w:p w:rsidR="003945D5">
      <w:pPr>
        <w:tabs>
          <w:tab w:val="left" w:pos="-1440"/>
        </w:tabs>
        <w:ind w:left="720"/>
        <w:rPr>
          <w:sz w:val="22"/>
          <w:szCs w:val="22"/>
        </w:rPr>
      </w:pPr>
    </w:p>
    <w:p w:rsidR="0069213B">
      <w:pPr>
        <w:numPr>
          <w:ilvl w:val="0"/>
          <w:numId w:val="1"/>
        </w:numPr>
        <w:tabs>
          <w:tab w:val="left" w:pos="-1440"/>
        </w:tabs>
        <w:ind w:left="0" w:firstLine="720"/>
        <w:rPr>
          <w:sz w:val="22"/>
          <w:szCs w:val="22"/>
        </w:rPr>
      </w:pPr>
      <w:r>
        <w:rPr>
          <w:sz w:val="22"/>
          <w:szCs w:val="22"/>
        </w:rPr>
        <w:t xml:space="preserve">This Notice shall be sent to </w:t>
      </w:r>
      <w:r w:rsidRPr="0029792E" w:rsidR="00282835">
        <w:rPr>
          <w:sz w:val="22"/>
          <w:szCs w:val="22"/>
        </w:rPr>
        <w:t>Steckline</w:t>
      </w:r>
      <w:r w:rsidRPr="0029792E" w:rsidR="00282835">
        <w:rPr>
          <w:sz w:val="22"/>
          <w:szCs w:val="22"/>
        </w:rPr>
        <w:t xml:space="preserve"> Communications, Inc</w:t>
      </w:r>
      <w:r w:rsidR="00282835">
        <w:rPr>
          <w:sz w:val="22"/>
          <w:szCs w:val="22"/>
        </w:rPr>
        <w:t>.</w:t>
      </w:r>
      <w:r>
        <w:rPr>
          <w:sz w:val="22"/>
          <w:szCs w:val="22"/>
        </w:rPr>
        <w:t>at its address of record</w:t>
      </w:r>
      <w:r w:rsidR="00AD5A8E">
        <w:rPr>
          <w:sz w:val="22"/>
          <w:szCs w:val="22"/>
        </w:rPr>
        <w:t xml:space="preserve"> and to its counsel, James P. Riley, Fletcher, Heald and Hildreth, 1300 17</w:t>
      </w:r>
      <w:r w:rsidRPr="00046AC3" w:rsidR="00AD5A8E">
        <w:rPr>
          <w:sz w:val="22"/>
          <w:szCs w:val="22"/>
          <w:vertAlign w:val="superscript"/>
        </w:rPr>
        <w:t>th</w:t>
      </w:r>
      <w:r w:rsidR="00AD5A8E">
        <w:rPr>
          <w:sz w:val="22"/>
          <w:szCs w:val="22"/>
        </w:rPr>
        <w:t xml:space="preserve"> Street, 11</w:t>
      </w:r>
      <w:r w:rsidRPr="00046AC3" w:rsidR="00AD5A8E">
        <w:rPr>
          <w:sz w:val="22"/>
          <w:szCs w:val="22"/>
          <w:vertAlign w:val="superscript"/>
        </w:rPr>
        <w:t>th</w:t>
      </w:r>
      <w:r w:rsidR="00AD5A8E">
        <w:rPr>
          <w:sz w:val="22"/>
          <w:szCs w:val="22"/>
        </w:rPr>
        <w:t xml:space="preserve"> Floor, Arlington, VA 22209</w:t>
      </w:r>
      <w:r>
        <w:rPr>
          <w:sz w:val="22"/>
          <w:szCs w:val="22"/>
        </w:rPr>
        <w:t>.</w:t>
      </w:r>
    </w:p>
    <w:p w:rsidR="0069213B">
      <w:pPr>
        <w:tabs>
          <w:tab w:val="left" w:pos="-1440"/>
        </w:tabs>
        <w:rPr>
          <w:sz w:val="22"/>
          <w:szCs w:val="22"/>
        </w:rPr>
      </w:pPr>
    </w:p>
    <w:p w:rsidR="0069213B">
      <w:pPr>
        <w:numPr>
          <w:ilvl w:val="0"/>
          <w:numId w:val="1"/>
        </w:numPr>
        <w:tabs>
          <w:tab w:val="left" w:pos="-1440"/>
        </w:tabs>
        <w:ind w:left="0" w:firstLine="720"/>
        <w:rPr>
          <w:sz w:val="22"/>
          <w:szCs w:val="22"/>
        </w:rPr>
      </w:pPr>
      <w:r>
        <w:rPr>
          <w:sz w:val="22"/>
          <w:szCs w:val="22"/>
        </w:rPr>
        <w:t>The Privacy Act of 1974</w:t>
      </w:r>
      <w:r>
        <w:rPr>
          <w:sz w:val="22"/>
          <w:szCs w:val="22"/>
          <w:vertAlign w:val="superscript"/>
        </w:rPr>
        <w:footnoteReference w:id="8"/>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69213B">
      <w:pPr>
        <w:tabs>
          <w:tab w:val="left" w:pos="-1440"/>
        </w:tabs>
        <w:rPr>
          <w:b/>
          <w:sz w:val="22"/>
          <w:szCs w:val="22"/>
        </w:rPr>
      </w:pPr>
    </w:p>
    <w:p w:rsidR="0069213B">
      <w:pPr>
        <w:rPr>
          <w:sz w:val="22"/>
          <w:szCs w:val="22"/>
        </w:rPr>
      </w:pPr>
    </w:p>
    <w:p w:rsidR="0069213B">
      <w:pPr>
        <w:rPr>
          <w:sz w:val="22"/>
          <w:szCs w:val="22"/>
        </w:rPr>
      </w:pPr>
    </w:p>
    <w:p w:rsidR="0069213B">
      <w:pPr>
        <w:rPr>
          <w:sz w:val="22"/>
          <w:szCs w:val="22"/>
        </w:rPr>
      </w:pPr>
    </w:p>
    <w:p w:rsidR="0069213B">
      <w:pPr>
        <w:rPr>
          <w:sz w:val="22"/>
          <w:szCs w:val="22"/>
        </w:rPr>
      </w:pPr>
    </w:p>
    <w:p w:rsidR="0069213B">
      <w:pPr>
        <w:ind w:firstLine="4680"/>
        <w:rPr>
          <w:sz w:val="22"/>
          <w:szCs w:val="22"/>
        </w:rPr>
      </w:pPr>
    </w:p>
    <w:p w:rsidR="0069213B">
      <w:pPr>
        <w:ind w:firstLine="4680"/>
        <w:rPr>
          <w:sz w:val="22"/>
          <w:szCs w:val="22"/>
        </w:rPr>
      </w:pPr>
    </w:p>
    <w:p w:rsidR="0069213B">
      <w:pPr>
        <w:ind w:firstLine="4680"/>
        <w:rPr>
          <w:sz w:val="22"/>
          <w:szCs w:val="22"/>
        </w:rPr>
      </w:pPr>
      <w:r>
        <w:rPr>
          <w:sz w:val="22"/>
          <w:szCs w:val="22"/>
        </w:rPr>
        <w:t>FEDERAL COMMUNICATIONS COMMISSION</w:t>
      </w:r>
    </w:p>
    <w:p w:rsidR="0069213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9213B">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F157F">
      <w:pPr>
        <w:rPr>
          <w:noProof/>
          <w:sz w:val="22"/>
          <w:szCs w:val="22"/>
        </w:rPr>
      </w:pPr>
    </w:p>
    <w:p w:rsidR="0044300B">
      <w:pPr>
        <w:rPr>
          <w:noProof/>
          <w:sz w:val="22"/>
          <w:szCs w:val="22"/>
        </w:rPr>
      </w:pPr>
    </w:p>
    <w:p w:rsidR="0069213B">
      <w:pPr>
        <w:ind w:firstLine="4680"/>
        <w:rPr>
          <w:sz w:val="22"/>
          <w:szCs w:val="22"/>
        </w:rPr>
      </w:pPr>
      <w:r>
        <w:rPr>
          <w:sz w:val="22"/>
          <w:szCs w:val="22"/>
        </w:rPr>
        <w:t>Ronald Ramage</w:t>
      </w:r>
    </w:p>
    <w:p w:rsidR="0069213B">
      <w:pPr>
        <w:ind w:firstLine="4680"/>
        <w:rPr>
          <w:sz w:val="22"/>
          <w:szCs w:val="22"/>
        </w:rPr>
      </w:pPr>
      <w:r>
        <w:rPr>
          <w:sz w:val="22"/>
          <w:szCs w:val="22"/>
        </w:rPr>
        <w:t>Regional Director, Region Two</w:t>
      </w:r>
    </w:p>
    <w:p w:rsidR="0069213B">
      <w:pPr>
        <w:widowControl w:val="0"/>
        <w:pBdr>
          <w:top w:val="nil"/>
          <w:left w:val="nil"/>
          <w:bottom w:val="nil"/>
          <w:right w:val="nil"/>
          <w:between w:val="nil"/>
        </w:pBdr>
        <w:tabs>
          <w:tab w:val="center" w:pos="4320"/>
          <w:tab w:val="right" w:pos="8640"/>
        </w:tabs>
        <w:ind w:firstLine="4680"/>
        <w:rPr>
          <w:color w:val="000000"/>
          <w:sz w:val="22"/>
          <w:szCs w:val="22"/>
        </w:rPr>
      </w:pPr>
      <w:r>
        <w:rPr>
          <w:color w:val="000000"/>
          <w:sz w:val="22"/>
          <w:szCs w:val="22"/>
        </w:rPr>
        <w:t>Enforcement Bureau</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1440"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rsidR="0069213B">
    <w:pPr>
      <w:widowControl w:val="0"/>
      <w:pBdr>
        <w:top w:val="nil"/>
        <w:left w:val="nil"/>
        <w:bottom w:val="nil"/>
        <w:right w:val="nil"/>
        <w:between w:val="nil"/>
      </w:pBdr>
      <w:tabs>
        <w:tab w:val="center" w:pos="4320"/>
        <w:tab w:val="right" w:pos="8640"/>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widowControl w:val="0"/>
      <w:pBdr>
        <w:top w:val="nil"/>
        <w:left w:val="nil"/>
        <w:bottom w:val="nil"/>
        <w:right w:val="nil"/>
        <w:between w:val="nil"/>
      </w:pBdr>
      <w:tabs>
        <w:tab w:val="center" w:pos="4320"/>
        <w:tab w:val="right" w:pos="8640"/>
      </w:tabs>
      <w:jc w:val="center"/>
      <w:rPr>
        <w:color w:val="000000"/>
        <w:sz w:val="24"/>
        <w:szCs w:val="24"/>
      </w:rPr>
    </w:pPr>
  </w:p>
  <w:p w:rsidR="0069213B">
    <w:pPr>
      <w:widowControl w:val="0"/>
      <w:pBdr>
        <w:top w:val="nil"/>
        <w:left w:val="nil"/>
        <w:bottom w:val="nil"/>
        <w:right w:val="nil"/>
        <w:between w:val="nil"/>
      </w:pBdr>
      <w:tabs>
        <w:tab w:val="center" w:pos="4320"/>
        <w:tab w:val="right" w:pos="8640"/>
      </w:tabs>
      <w:jc w:val="center"/>
      <w:rPr>
        <w:color w:val="000000"/>
        <w:sz w:val="24"/>
        <w:szCs w:val="24"/>
      </w:rPr>
    </w:pPr>
  </w:p>
  <w:p w:rsidR="0069213B">
    <w:pPr>
      <w:widowControl w:val="0"/>
      <w:pBdr>
        <w:top w:val="nil"/>
        <w:left w:val="nil"/>
        <w:bottom w:val="nil"/>
        <w:right w:val="nil"/>
        <w:between w:val="nil"/>
      </w:pBdr>
      <w:tabs>
        <w:tab w:val="center" w:pos="4320"/>
        <w:tab w:val="right" w:pos="864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83A4A">
      <w:rPr>
        <w:noProof/>
        <w:color w:val="000000"/>
        <w:sz w:val="24"/>
        <w:szCs w:val="24"/>
      </w:rPr>
      <w:t>3</w:t>
    </w:r>
    <w:r>
      <w:rPr>
        <w:color w:val="000000"/>
        <w:sz w:val="24"/>
        <w:szCs w:val="24"/>
      </w:rPr>
      <w:fldChar w:fldCharType="end"/>
    </w:r>
  </w:p>
  <w:p w:rsidR="0069213B">
    <w:pPr>
      <w:rPr>
        <w:sz w:val="22"/>
        <w:szCs w:val="22"/>
      </w:rPr>
    </w:pPr>
  </w:p>
  <w:p w:rsidR="0069213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3668">
      <w:r>
        <w:separator/>
      </w:r>
    </w:p>
  </w:footnote>
  <w:footnote w:type="continuationSeparator" w:id="1">
    <w:p w:rsidR="00E33668">
      <w:r>
        <w:continuationSeparator/>
      </w:r>
    </w:p>
  </w:footnote>
  <w:footnote w:id="2">
    <w:p w:rsidR="0069213B">
      <w:pPr>
        <w:widowControl w:val="0"/>
        <w:pBdr>
          <w:top w:val="nil"/>
          <w:left w:val="nil"/>
          <w:bottom w:val="nil"/>
          <w:right w:val="nil"/>
          <w:between w:val="nil"/>
        </w:pBdr>
        <w:rPr>
          <w:color w:val="000000"/>
        </w:rPr>
      </w:pPr>
      <w:r>
        <w:rPr>
          <w:vertAlign w:val="superscript"/>
        </w:rPr>
        <w:footnoteRef/>
      </w:r>
      <w:r>
        <w:rPr>
          <w:color w:val="000000"/>
        </w:rPr>
        <w:t xml:space="preserve"> 47 CFR § 1.89.</w:t>
      </w:r>
    </w:p>
    <w:p w:rsidR="0069213B">
      <w:pPr>
        <w:widowControl w:val="0"/>
        <w:pBdr>
          <w:top w:val="nil"/>
          <w:left w:val="nil"/>
          <w:bottom w:val="nil"/>
          <w:right w:val="nil"/>
          <w:between w:val="nil"/>
        </w:pBdr>
        <w:rPr>
          <w:color w:val="000000"/>
        </w:rPr>
      </w:pPr>
    </w:p>
  </w:footnote>
  <w:footnote w:id="3">
    <w:p w:rsidR="0069213B">
      <w:pPr>
        <w:tabs>
          <w:tab w:val="left" w:pos="-1440"/>
        </w:tabs>
        <w:rPr>
          <w:b/>
          <w:sz w:val="22"/>
          <w:szCs w:val="22"/>
        </w:rPr>
      </w:pPr>
      <w:r>
        <w:rPr>
          <w:vertAlign w:val="superscript"/>
        </w:rPr>
        <w:footnoteRef/>
      </w:r>
      <w:r>
        <w:t xml:space="preserve"> 47 CFR § 1.89(a).</w:t>
      </w:r>
    </w:p>
    <w:p w:rsidR="0069213B">
      <w:pPr>
        <w:widowControl w:val="0"/>
        <w:pBdr>
          <w:top w:val="nil"/>
          <w:left w:val="nil"/>
          <w:bottom w:val="nil"/>
          <w:right w:val="nil"/>
          <w:between w:val="nil"/>
        </w:pBdr>
        <w:spacing w:after="120"/>
        <w:rPr>
          <w:color w:val="000000"/>
          <w:sz w:val="18"/>
          <w:szCs w:val="18"/>
        </w:rPr>
      </w:pPr>
    </w:p>
  </w:footnote>
  <w:footnote w:id="4">
    <w:p w:rsidR="0069213B">
      <w:pPr>
        <w:widowControl w:val="0"/>
        <w:pBdr>
          <w:top w:val="nil"/>
          <w:left w:val="nil"/>
          <w:bottom w:val="nil"/>
          <w:right w:val="nil"/>
          <w:between w:val="nil"/>
        </w:pBdr>
        <w:spacing w:after="120"/>
        <w:rPr>
          <w:color w:val="000000"/>
        </w:rPr>
      </w:pPr>
      <w:r>
        <w:rPr>
          <w:vertAlign w:val="superscript"/>
        </w:rPr>
        <w:footnoteRef/>
      </w:r>
      <w:r>
        <w:rPr>
          <w:color w:val="000000"/>
        </w:rPr>
        <w:t xml:space="preserve"> 47 U.S.C. § </w:t>
      </w:r>
      <w:r w:rsidR="0012557B">
        <w:rPr>
          <w:color w:val="000000"/>
        </w:rPr>
        <w:t>403</w:t>
      </w:r>
      <w:r>
        <w:rPr>
          <w:color w:val="000000"/>
        </w:rPr>
        <w:t>.</w:t>
      </w:r>
    </w:p>
  </w:footnote>
  <w:footnote w:id="5">
    <w:p w:rsidR="0069213B">
      <w:pPr>
        <w:widowControl w:val="0"/>
        <w:pBdr>
          <w:top w:val="nil"/>
          <w:left w:val="nil"/>
          <w:bottom w:val="nil"/>
          <w:right w:val="nil"/>
          <w:between w:val="nil"/>
        </w:pBdr>
        <w:spacing w:after="120"/>
        <w:rPr>
          <w:color w:val="000000"/>
          <w:sz w:val="18"/>
          <w:szCs w:val="18"/>
        </w:rPr>
      </w:pPr>
      <w:r>
        <w:rPr>
          <w:vertAlign w:val="superscript"/>
        </w:rPr>
        <w:footnoteRef/>
      </w:r>
      <w:r>
        <w:rPr>
          <w:color w:val="000000"/>
        </w:rPr>
        <w:t xml:space="preserve"> 47 CFR § 1.89(c).</w:t>
      </w:r>
    </w:p>
  </w:footnote>
  <w:footnote w:id="6">
    <w:p w:rsidR="0069213B">
      <w:pPr>
        <w:widowControl w:val="0"/>
        <w:spacing w:after="120"/>
      </w:pPr>
      <w:r>
        <w:rPr>
          <w:vertAlign w:val="superscript"/>
        </w:rPr>
        <w:footnoteRef/>
      </w:r>
      <w:r>
        <w:t xml:space="preserve"> Section 1.16 of the Rules provides that “[a]</w:t>
      </w:r>
      <w:r>
        <w:t>ny</w:t>
      </w:r>
      <w:r>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8B5B4E" w:rsidP="008B5B4E">
      <w:pPr>
        <w:widowControl w:val="0"/>
        <w:pBdr>
          <w:top w:val="nil"/>
          <w:left w:val="nil"/>
          <w:bottom w:val="nil"/>
          <w:right w:val="nil"/>
          <w:between w:val="nil"/>
        </w:pBdr>
        <w:spacing w:after="120"/>
        <w:rPr>
          <w:color w:val="000000"/>
        </w:rPr>
      </w:pPr>
      <w:r>
        <w:rPr>
          <w:vertAlign w:val="superscript"/>
        </w:rPr>
        <w:footnoteRef/>
      </w:r>
      <w:r>
        <w:rPr>
          <w:color w:val="000000"/>
        </w:rPr>
        <w:t xml:space="preserve"> 18 U.S.C. § 1001 </w:t>
      </w:r>
      <w:r>
        <w:rPr>
          <w:i/>
          <w:color w:val="000000"/>
        </w:rPr>
        <w:t xml:space="preserve">et seq. See also </w:t>
      </w:r>
      <w:r>
        <w:rPr>
          <w:color w:val="000000"/>
        </w:rPr>
        <w:t>47 CFR § 1.17.</w:t>
      </w:r>
    </w:p>
  </w:footnote>
  <w:footnote w:id="8">
    <w:p w:rsidR="0069213B">
      <w:pPr>
        <w:widowControl w:val="0"/>
        <w:pBdr>
          <w:top w:val="nil"/>
          <w:left w:val="nil"/>
          <w:bottom w:val="nil"/>
          <w:right w:val="nil"/>
          <w:between w:val="nil"/>
        </w:pBdr>
        <w:rPr>
          <w:color w:val="000000"/>
        </w:rPr>
      </w:pPr>
      <w:r>
        <w:rPr>
          <w:vertAlign w:val="superscript"/>
        </w:rPr>
        <w:footnoteRef/>
      </w:r>
      <w:r>
        <w:rPr>
          <w:color w:val="000000"/>
        </w:rPr>
        <w:t xml:space="preserve"> 5 U.S.C. § </w:t>
      </w:r>
      <w:r>
        <w:rPr>
          <w:color w:val="000000"/>
        </w:rPr>
        <w:t>552a(</w:t>
      </w:r>
      <w:r>
        <w:rPr>
          <w:color w:val="000000"/>
        </w:rPr>
        <w:t>e)(3).</w:t>
      </w:r>
    </w:p>
    <w:p w:rsidR="0069213B">
      <w:pPr>
        <w:widowControl w:val="0"/>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tabs>
        <w:tab w:val="center" w:pos="4680"/>
        <w:tab w:val="right" w:pos="9360"/>
      </w:tabs>
      <w:jc w:val="both"/>
      <w:rPr>
        <w:sz w:val="22"/>
        <w:szCs w:val="22"/>
      </w:rPr>
    </w:pPr>
    <w:r>
      <w:rPr>
        <w:sz w:val="22"/>
        <w:szCs w:val="22"/>
      </w:rPr>
      <w:tab/>
    </w:r>
    <w:r>
      <w:rPr>
        <w:b/>
        <w:sz w:val="22"/>
        <w:szCs w:val="22"/>
      </w:rPr>
      <w:t>Federal Communications Commission</w:t>
    </w:r>
    <w:r>
      <w:rPr>
        <w:b/>
        <w:sz w:val="22"/>
        <w:szCs w:val="22"/>
      </w:rPr>
      <w:tab/>
    </w:r>
  </w:p>
  <w:p w:rsidR="0069213B">
    <w:pPr>
      <w:jc w:val="both"/>
      <w:rPr>
        <w:sz w:val="22"/>
        <w:szCs w:val="22"/>
      </w:rPr>
    </w:pPr>
    <w:r>
      <w:rPr>
        <w:noProof/>
      </w:rP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69213B"/>
                      </w:txbxContent>
                    </wps:txbx>
                    <wps:bodyPr spcFirstLastPara="1" wrap="square" lIns="91425" tIns="91425" rIns="91425" bIns="91425" anchor="ctr" anchorCtr="0"/>
                  </wps:wsp>
                </a:graphicData>
              </a:graphic>
            </wp:anchor>
          </w:drawing>
        </mc:Choice>
        <mc:Fallback>
          <w:pict>
            <v:rect id="Rectangle 2" o:spid="_x0000_s2049" style="width:468pt;height:1pt;margin-top:0;margin-left:0;mso-wrap-distance-bottom:0;mso-wrap-distance-left:0;mso-wrap-distance-right:0;mso-wrap-distance-top:0;mso-wrap-style:square;position:absolute;visibility:visible;v-text-anchor:middle;z-index:-251657216" fillcolor="black" stroked="f">
              <v:textbox inset="7.2pt,7.2pt,7.2pt,7.2pt">
                <w:txbxContent>
                  <w:p w:rsidR="0069213B"/>
                </w:txbxContent>
              </v:textbox>
              <w10:wrap type="square"/>
            </v:rect>
          </w:pict>
        </mc:Fallback>
      </mc:AlternateContent>
    </w:r>
  </w:p>
  <w:p w:rsidR="0069213B">
    <w:pPr>
      <w:jc w:val="both"/>
      <w:rPr>
        <w:sz w:val="22"/>
        <w:szCs w:val="22"/>
      </w:rPr>
    </w:pPr>
  </w:p>
  <w:p w:rsidR="0069213B">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13B">
    <w:pPr>
      <w:pStyle w:val="Heading2"/>
      <w:tabs>
        <w:tab w:val="right" w:pos="9360"/>
      </w:tabs>
    </w:pPr>
    <w:r>
      <w:t>Federal Communications Commission</w:t>
    </w:r>
  </w:p>
  <w:p w:rsidR="0069213B">
    <w:pPr>
      <w:jc w:val="both"/>
      <w:rPr>
        <w:sz w:val="22"/>
        <w:szCs w:val="22"/>
      </w:rPr>
    </w:pPr>
    <w:r>
      <w:rPr>
        <w:noProof/>
      </w:rPr>
      <mc:AlternateContent>
        <mc:Choice Requires="wps">
          <w:drawing>
            <wp:anchor distT="0" distB="0" distL="0" distR="0" simplePos="0" relativeHeight="251660288" behindDoc="1" locked="0" layoutInCell="1" allowOverlap="1">
              <wp:simplePos x="0" y="0"/>
              <wp:positionH relativeFrom="column">
                <wp:posOffset>0</wp:posOffset>
              </wp:positionH>
              <wp:positionV relativeFrom="paragraph">
                <wp:posOffset>0</wp:posOffset>
              </wp:positionV>
              <wp:extent cx="5943600" cy="12700"/>
              <wp:effectExtent l="0" t="0" r="0" b="0"/>
              <wp:wrapSquare wrapText="bothSides"/>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2374200" y="3773968"/>
                        <a:ext cx="5943600" cy="12700"/>
                      </a:xfrm>
                      <a:prstGeom prst="rect">
                        <a:avLst/>
                      </a:prstGeom>
                      <a:solidFill>
                        <a:srgbClr val="000000"/>
                      </a:solidFill>
                      <a:ln>
                        <a:noFill/>
                      </a:ln>
                    </wps:spPr>
                    <wps:txbx>
                      <w:txbxContent>
                        <w:p w:rsidR="0069213B"/>
                      </w:txbxContent>
                    </wps:txbx>
                    <wps:bodyPr spcFirstLastPara="1" wrap="square" lIns="91425" tIns="91425" rIns="91425" bIns="91425" anchor="ctr" anchorCtr="0"/>
                  </wps:wsp>
                </a:graphicData>
              </a:graphic>
            </wp:anchor>
          </w:drawing>
        </mc:Choice>
        <mc:Fallback>
          <w:pict>
            <v:rect id="Rectangle 1" o:spid="_x0000_s2050" style="width:468pt;height:1pt;margin-top:0;margin-left:0;mso-wrap-distance-bottom:0;mso-wrap-distance-left:0;mso-wrap-distance-right:0;mso-wrap-distance-top:0;mso-wrap-style:square;position:absolute;visibility:visible;v-text-anchor:middle;z-index:-251655168" fillcolor="black" stroked="f">
              <v:textbox inset="7.2pt,7.2pt,7.2pt,7.2pt">
                <w:txbxContent>
                  <w:p w:rsidR="0069213B"/>
                </w:txbxContent>
              </v:textbox>
              <w10:wrap type="square"/>
            </v:rect>
          </w:pict>
        </mc:Fallback>
      </mc:AlternateContent>
    </w:r>
  </w:p>
  <w:p w:rsidR="0069213B">
    <w:pPr>
      <w:tabs>
        <w:tab w:val="center" w:pos="4680"/>
        <w:tab w:val="right" w:pos="9360"/>
      </w:tabs>
      <w:jc w:val="both"/>
    </w:pPr>
  </w:p>
  <w:p w:rsidR="0069213B">
    <w:pPr>
      <w:tabs>
        <w:tab w:val="center" w:pos="468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8738C"/>
    <w:multiLevelType w:val="multilevel"/>
    <w:tmpl w:val="33407D28"/>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
    <w:nsid w:val="454B1343"/>
    <w:multiLevelType w:val="multilevel"/>
    <w:tmpl w:val="432E91C0"/>
    <w:lvl w:ilvl="0">
      <w:start w:val="1"/>
      <w:numFmt w:val="decimal"/>
      <w:lvlText w:val="%1."/>
      <w:lvlJc w:val="left"/>
      <w:pPr>
        <w:ind w:left="720" w:hanging="360"/>
      </w:pPr>
      <w:rPr>
        <w:b w:val="0"/>
        <w:i w:val="0"/>
      </w:rPr>
    </w:lvl>
    <w:lvl w:ilvl="1">
      <w:start w:val="1"/>
      <w:numFmt w:val="lowerLetter"/>
      <w:lvlText w:val="%2."/>
      <w:lvlJc w:val="left"/>
      <w:pPr>
        <w:ind w:left="2520" w:hanging="144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B"/>
    <w:rsid w:val="00046AC3"/>
    <w:rsid w:val="00062839"/>
    <w:rsid w:val="000A2402"/>
    <w:rsid w:val="0012557B"/>
    <w:rsid w:val="00282835"/>
    <w:rsid w:val="0029792E"/>
    <w:rsid w:val="002A7D04"/>
    <w:rsid w:val="003945D5"/>
    <w:rsid w:val="003D2011"/>
    <w:rsid w:val="003F157F"/>
    <w:rsid w:val="0044300B"/>
    <w:rsid w:val="005B7987"/>
    <w:rsid w:val="0069213B"/>
    <w:rsid w:val="00695FCF"/>
    <w:rsid w:val="007F165B"/>
    <w:rsid w:val="008B5B4E"/>
    <w:rsid w:val="009744E7"/>
    <w:rsid w:val="009C009D"/>
    <w:rsid w:val="00A04C10"/>
    <w:rsid w:val="00AD5A8E"/>
    <w:rsid w:val="00B911A1"/>
    <w:rsid w:val="00BE4039"/>
    <w:rsid w:val="00D3514B"/>
    <w:rsid w:val="00D62447"/>
    <w:rsid w:val="00D83A4A"/>
    <w:rsid w:val="00E33668"/>
    <w:rsid w:val="00E53A52"/>
    <w:rsid w:val="00F73BD4"/>
    <w:rsid w:val="00FE12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720" w:hanging="720"/>
      <w:outlineLvl w:val="0"/>
    </w:pPr>
    <w:rPr>
      <w:b/>
      <w:sz w:val="22"/>
      <w:szCs w:val="22"/>
    </w:rPr>
  </w:style>
  <w:style w:type="paragraph" w:styleId="Heading2">
    <w:name w:val="heading 2"/>
    <w:basedOn w:val="Normal"/>
    <w:next w:val="Normal"/>
    <w:pPr>
      <w:keepNext/>
      <w:widowControl w:val="0"/>
      <w:tabs>
        <w:tab w:val="center" w:pos="4680"/>
        <w:tab w:val="left" w:pos="5040"/>
        <w:tab w:val="left" w:pos="5760"/>
        <w:tab w:val="left" w:pos="6480"/>
        <w:tab w:val="left" w:pos="7200"/>
        <w:tab w:val="left" w:pos="7920"/>
        <w:tab w:val="left" w:pos="8640"/>
        <w:tab w:val="left" w:pos="9360"/>
      </w:tabs>
      <w:jc w:val="center"/>
      <w:outlineLvl w:val="1"/>
    </w:pPr>
    <w:rPr>
      <w:b/>
      <w:sz w:val="22"/>
      <w:szCs w:val="22"/>
    </w:rPr>
  </w:style>
  <w:style w:type="paragraph" w:styleId="Heading3">
    <w:name w:val="heading 3"/>
    <w:basedOn w:val="Normal"/>
    <w:next w:val="Normal"/>
    <w:pPr>
      <w:keepNext/>
      <w:widowControl w:val="0"/>
      <w:tabs>
        <w:tab w:val="left" w:pos="4680"/>
      </w:tabs>
      <w:ind w:left="720"/>
      <w:jc w:val="center"/>
      <w:outlineLvl w:val="2"/>
    </w:pPr>
    <w:rPr>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tabs>
        <w:tab w:val="left" w:pos="4680"/>
      </w:tabs>
      <w:jc w:val="center"/>
      <w:outlineLvl w:val="4"/>
    </w:pPr>
    <w:rPr>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tabs>
        <w:tab w:val="left" w:pos="6480"/>
      </w:tabs>
      <w:jc w:val="right"/>
    </w:pPr>
    <w:rPr>
      <w:b/>
      <w:sz w:val="22"/>
      <w:szCs w:val="22"/>
    </w:rPr>
  </w:style>
  <w:style w:type="paragraph" w:styleId="BalloonText">
    <w:name w:val="Balloon Text"/>
    <w:basedOn w:val="Normal"/>
    <w:link w:val="BalloonTextChar"/>
    <w:uiPriority w:val="99"/>
    <w:semiHidden/>
    <w:unhideWhenUsed/>
    <w:rsid w:val="00B91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A1"/>
    <w:rPr>
      <w:rFonts w:ascii="Segoe UI" w:hAnsi="Segoe UI" w:cs="Segoe UI"/>
      <w:sz w:val="18"/>
      <w:szCs w:val="18"/>
    </w:rPr>
  </w:style>
  <w:style w:type="paragraph" w:styleId="ListParagraph">
    <w:name w:val="List Paragraph"/>
    <w:basedOn w:val="Normal"/>
    <w:uiPriority w:val="34"/>
    <w:qFormat/>
    <w:rsid w:val="008B5B4E"/>
    <w:pPr>
      <w:ind w:left="720"/>
      <w:contextualSpacing/>
    </w:pPr>
  </w:style>
  <w:style w:type="paragraph" w:styleId="Header">
    <w:name w:val="header"/>
    <w:basedOn w:val="Normal"/>
    <w:link w:val="HeaderChar"/>
    <w:uiPriority w:val="99"/>
    <w:unhideWhenUsed/>
    <w:rsid w:val="00D83A4A"/>
    <w:pPr>
      <w:tabs>
        <w:tab w:val="center" w:pos="4680"/>
        <w:tab w:val="right" w:pos="9360"/>
      </w:tabs>
    </w:pPr>
  </w:style>
  <w:style w:type="character" w:customStyle="1" w:styleId="HeaderChar">
    <w:name w:val="Header Char"/>
    <w:basedOn w:val="DefaultParagraphFont"/>
    <w:link w:val="Header"/>
    <w:uiPriority w:val="99"/>
    <w:rsid w:val="00D83A4A"/>
  </w:style>
  <w:style w:type="paragraph" w:styleId="Footer">
    <w:name w:val="footer"/>
    <w:basedOn w:val="Normal"/>
    <w:link w:val="FooterChar"/>
    <w:uiPriority w:val="99"/>
    <w:unhideWhenUsed/>
    <w:rsid w:val="00D83A4A"/>
    <w:pPr>
      <w:tabs>
        <w:tab w:val="center" w:pos="4680"/>
        <w:tab w:val="right" w:pos="9360"/>
      </w:tabs>
    </w:pPr>
  </w:style>
  <w:style w:type="character" w:customStyle="1" w:styleId="FooterChar">
    <w:name w:val="Footer Char"/>
    <w:basedOn w:val="DefaultParagraphFont"/>
    <w:link w:val="Footer"/>
    <w:uiPriority w:val="99"/>
    <w:rsid w:val="00D8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