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tbl>
      <w:tblPr>
        <w:tblW w:w="0" w:type="auto"/>
        <w:tblCellMar>
          <w:left w:w="0" w:type="dxa"/>
          <w:right w:w="0" w:type="dxa"/>
        </w:tblCellMar>
        <w:tblLook w:val="04A0"/>
      </w:tblPr>
      <w:tblGrid>
        <w:gridCol w:w="9108"/>
      </w:tblGrid>
      <w:tr w14:paraId="246719B2" w14:textId="77777777" w:rsidTr="00762A02">
        <w:tblPrEx>
          <w:tblW w:w="0" w:type="auto"/>
          <w:tblCellMar>
            <w:left w:w="0" w:type="dxa"/>
            <w:right w:w="0" w:type="dxa"/>
          </w:tblCellMar>
          <w:tblLook w:val="04A0"/>
        </w:tblPrEx>
        <w:trPr>
          <w:trHeight w:val="2181"/>
        </w:trPr>
        <w:tc>
          <w:tcPr>
            <w:tcW w:w="8886" w:type="dxa"/>
            <w:tcMar>
              <w:top w:w="0" w:type="dxa"/>
              <w:left w:w="108" w:type="dxa"/>
              <w:bottom w:w="0" w:type="dxa"/>
              <w:right w:w="108" w:type="dxa"/>
            </w:tcMar>
          </w:tcPr>
          <w:tbl>
            <w:tblPr>
              <w:tblW w:w="0" w:type="auto"/>
              <w:tblCellMar>
                <w:left w:w="0" w:type="dxa"/>
                <w:right w:w="0" w:type="dxa"/>
              </w:tblCellMar>
              <w:tblLook w:val="04A0"/>
            </w:tblPr>
            <w:tblGrid>
              <w:gridCol w:w="8892"/>
            </w:tblGrid>
            <w:tr w14:paraId="4ED1A0DA" w14:textId="77777777" w:rsidTr="00762A02">
              <w:tblPrEx>
                <w:tblW w:w="0" w:type="auto"/>
                <w:tblCellMar>
                  <w:left w:w="0" w:type="dxa"/>
                  <w:right w:w="0" w:type="dxa"/>
                </w:tblCellMar>
                <w:tblLook w:val="04A0"/>
              </w:tblPrEx>
              <w:trPr>
                <w:trHeight w:val="2181"/>
              </w:trPr>
              <w:tc>
                <w:tcPr>
                  <w:tcW w:w="8886" w:type="dxa"/>
                  <w:tcMar>
                    <w:top w:w="0" w:type="dxa"/>
                    <w:left w:w="108" w:type="dxa"/>
                    <w:bottom w:w="0" w:type="dxa"/>
                    <w:right w:w="108" w:type="dxa"/>
                  </w:tcMar>
                </w:tcPr>
                <w:p w:rsidR="00762A02" w:rsidP="00762A02" w14:paraId="2521DE1D" w14:textId="77777777">
                  <w:pPr>
                    <w:jc w:val="center"/>
                    <w:rPr>
                      <w:b/>
                      <w:bCs/>
                    </w:rPr>
                  </w:pPr>
                  <w:r>
                    <w:rPr>
                      <w:b/>
                      <w:bCs/>
                      <w:i/>
                      <w:iCs/>
                      <w:noProof/>
                      <w:sz w:val="28"/>
                      <w:szCs w:val="28"/>
                    </w:rPr>
                    <w:drawing>
                      <wp:inline distT="0" distB="0" distL="0" distR="0">
                        <wp:extent cx="5509260" cy="762000"/>
                        <wp:effectExtent l="0" t="0" r="0" b="0"/>
                        <wp:docPr id="2" name="Picture 2"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5904014" name="Picture 1" descr="FCC - News from the Federal Communications Commission"/>
                                <pic:cNvPicPr>
                                  <a:picLocks noChangeAspect="1" noChangeArrowheads="1"/>
                                </pic:cNvPicPr>
                              </pic:nvPicPr>
                              <pic:blipFill>
                                <a:blip xmlns:r="http://schemas.openxmlformats.org/officeDocument/2006/relationships" r:embed="rId4" r:link="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9260" cy="762000"/>
                                </a:xfrm>
                                <a:prstGeom prst="rect">
                                  <a:avLst/>
                                </a:prstGeom>
                                <a:noFill/>
                                <a:ln>
                                  <a:noFill/>
                                </a:ln>
                              </pic:spPr>
                            </pic:pic>
                          </a:graphicData>
                        </a:graphic>
                      </wp:inline>
                    </w:drawing>
                  </w:r>
                </w:p>
                <w:p w:rsidR="00762A02" w:rsidP="00762A02" w14:paraId="1F52C6D8" w14:textId="77777777">
                  <w:pPr>
                    <w:rPr>
                      <w:b/>
                      <w:bCs/>
                      <w:sz w:val="12"/>
                      <w:szCs w:val="12"/>
                    </w:rPr>
                  </w:pPr>
                </w:p>
                <w:p w:rsidR="00762A02" w:rsidP="00762A02" w14:paraId="45A30ACF" w14:textId="77777777">
                  <w:pPr>
                    <w:rPr>
                      <w:b/>
                      <w:bCs/>
                      <w:sz w:val="22"/>
                      <w:szCs w:val="22"/>
                    </w:rPr>
                  </w:pPr>
                  <w:r>
                    <w:rPr>
                      <w:b/>
                      <w:bCs/>
                      <w:sz w:val="22"/>
                      <w:szCs w:val="22"/>
                    </w:rPr>
                    <w:t xml:space="preserve">Media Contact: </w:t>
                  </w:r>
                </w:p>
                <w:p w:rsidR="00762A02" w:rsidRPr="00883B51" w:rsidP="00762A02" w14:paraId="1AE285D6" w14:textId="595C7F71">
                  <w:pPr>
                    <w:rPr>
                      <w:sz w:val="22"/>
                      <w:szCs w:val="22"/>
                    </w:rPr>
                  </w:pPr>
                  <w:r w:rsidRPr="00883B51">
                    <w:rPr>
                      <w:sz w:val="22"/>
                      <w:szCs w:val="22"/>
                    </w:rPr>
                    <w:t>Will Wiquist</w:t>
                  </w:r>
                  <w:r w:rsidRPr="00883B51" w:rsidR="00852ACD">
                    <w:rPr>
                      <w:sz w:val="22"/>
                      <w:szCs w:val="22"/>
                    </w:rPr>
                    <w:t>,</w:t>
                  </w:r>
                  <w:r w:rsidRPr="00883B51">
                    <w:rPr>
                      <w:sz w:val="22"/>
                      <w:szCs w:val="22"/>
                    </w:rPr>
                    <w:t xml:space="preserve"> (202) 418-</w:t>
                  </w:r>
                  <w:r w:rsidRPr="00883B51">
                    <w:rPr>
                      <w:sz w:val="22"/>
                      <w:szCs w:val="22"/>
                    </w:rPr>
                    <w:t>0509</w:t>
                  </w:r>
                </w:p>
                <w:p w:rsidR="00762A02" w:rsidRPr="00BB0E52" w:rsidP="00762A02" w14:paraId="7F352606" w14:textId="2BCB4704">
                  <w:pPr>
                    <w:rPr>
                      <w:sz w:val="22"/>
                      <w:szCs w:val="22"/>
                    </w:rPr>
                  </w:pPr>
                  <w:r w:rsidRPr="00BB0E52">
                    <w:rPr>
                      <w:rStyle w:val="Hyperlink"/>
                      <w:color w:val="auto"/>
                      <w:sz w:val="22"/>
                      <w:szCs w:val="22"/>
                      <w:u w:val="none"/>
                    </w:rPr>
                    <w:t>w</w:t>
                  </w:r>
                  <w:r w:rsidRPr="00BB0E52">
                    <w:rPr>
                      <w:rStyle w:val="Hyperlink"/>
                      <w:color w:val="auto"/>
                      <w:szCs w:val="22"/>
                      <w:u w:val="none"/>
                    </w:rPr>
                    <w:t>ill.wiquist</w:t>
                  </w:r>
                  <w:r w:rsidRPr="00BB0E52">
                    <w:rPr>
                      <w:rStyle w:val="Hyperlink"/>
                      <w:color w:val="auto"/>
                      <w:sz w:val="22"/>
                      <w:szCs w:val="22"/>
                      <w:u w:val="none"/>
                    </w:rPr>
                    <w:t>@fcc.gov</w:t>
                  </w:r>
                </w:p>
                <w:p w:rsidR="00762A02" w:rsidP="00762A02" w14:paraId="3500B8BB" w14:textId="77777777">
                  <w:pPr>
                    <w:rPr>
                      <w:sz w:val="22"/>
                      <w:szCs w:val="22"/>
                    </w:rPr>
                  </w:pPr>
                </w:p>
                <w:p w:rsidR="00762A02" w:rsidRPr="00515975" w:rsidP="00762A02" w14:paraId="77BB9DD8" w14:textId="77777777">
                  <w:pPr>
                    <w:rPr>
                      <w:b/>
                      <w:bCs/>
                      <w:sz w:val="22"/>
                      <w:szCs w:val="22"/>
                    </w:rPr>
                  </w:pPr>
                  <w:r w:rsidRPr="00515975">
                    <w:rPr>
                      <w:b/>
                      <w:bCs/>
                      <w:sz w:val="22"/>
                      <w:szCs w:val="22"/>
                    </w:rPr>
                    <w:t>For Immediate Release</w:t>
                  </w:r>
                </w:p>
                <w:p w:rsidR="00762A02" w:rsidRPr="00515975" w:rsidP="00762A02" w14:paraId="73A36558" w14:textId="77777777">
                  <w:pPr>
                    <w:jc w:val="center"/>
                    <w:rPr>
                      <w:b/>
                      <w:bCs/>
                      <w:sz w:val="22"/>
                      <w:szCs w:val="22"/>
                    </w:rPr>
                  </w:pPr>
                </w:p>
                <w:p w:rsidR="00762A02" w:rsidRPr="00250BCC" w:rsidP="00762A02" w14:paraId="5E73E72A" w14:textId="7C77F577">
                  <w:pPr>
                    <w:jc w:val="center"/>
                    <w:rPr>
                      <w:b/>
                      <w:bCs/>
                      <w:sz w:val="26"/>
                      <w:szCs w:val="26"/>
                    </w:rPr>
                  </w:pPr>
                  <w:r w:rsidRPr="00515975">
                    <w:rPr>
                      <w:b/>
                      <w:bCs/>
                      <w:sz w:val="26"/>
                      <w:szCs w:val="26"/>
                    </w:rPr>
                    <w:t xml:space="preserve">FCC </w:t>
                  </w:r>
                  <w:r>
                    <w:rPr>
                      <w:b/>
                      <w:bCs/>
                      <w:sz w:val="26"/>
                      <w:szCs w:val="26"/>
                    </w:rPr>
                    <w:t>IS MOVING</w:t>
                  </w:r>
                  <w:r w:rsidRPr="00250BCC">
                    <w:rPr>
                      <w:b/>
                      <w:bCs/>
                      <w:sz w:val="26"/>
                      <w:szCs w:val="26"/>
                    </w:rPr>
                    <w:t xml:space="preserve"> ITS E</w:t>
                  </w:r>
                  <w:r>
                    <w:rPr>
                      <w:b/>
                      <w:bCs/>
                      <w:sz w:val="26"/>
                      <w:szCs w:val="26"/>
                    </w:rPr>
                    <w:t xml:space="preserve">QUAL </w:t>
                  </w:r>
                  <w:r w:rsidRPr="00250BCC">
                    <w:rPr>
                      <w:b/>
                      <w:bCs/>
                      <w:sz w:val="26"/>
                      <w:szCs w:val="26"/>
                    </w:rPr>
                    <w:t>E</w:t>
                  </w:r>
                  <w:r>
                    <w:rPr>
                      <w:b/>
                      <w:bCs/>
                      <w:sz w:val="26"/>
                      <w:szCs w:val="26"/>
                    </w:rPr>
                    <w:t xml:space="preserve">MPLOYMENT </w:t>
                  </w:r>
                  <w:r w:rsidRPr="00250BCC">
                    <w:rPr>
                      <w:b/>
                      <w:bCs/>
                      <w:sz w:val="26"/>
                      <w:szCs w:val="26"/>
                    </w:rPr>
                    <w:t>O</w:t>
                  </w:r>
                  <w:r>
                    <w:rPr>
                      <w:b/>
                      <w:bCs/>
                      <w:sz w:val="26"/>
                      <w:szCs w:val="26"/>
                    </w:rPr>
                    <w:t>PPORTUNITY</w:t>
                  </w:r>
                  <w:r w:rsidRPr="00250BCC">
                    <w:rPr>
                      <w:b/>
                      <w:bCs/>
                      <w:sz w:val="26"/>
                      <w:szCs w:val="26"/>
                    </w:rPr>
                    <w:t xml:space="preserve"> </w:t>
                  </w:r>
                  <w:r>
                    <w:rPr>
                      <w:b/>
                      <w:bCs/>
                      <w:sz w:val="26"/>
                      <w:szCs w:val="26"/>
                    </w:rPr>
                    <w:t xml:space="preserve">AUDIT &amp; ENFORCEMENT </w:t>
                  </w:r>
                  <w:r w:rsidRPr="00250BCC">
                    <w:rPr>
                      <w:b/>
                      <w:bCs/>
                      <w:sz w:val="26"/>
                      <w:szCs w:val="26"/>
                    </w:rPr>
                    <w:t>FUNCTIONS TO THE ENFORCEMENT BUREAU</w:t>
                  </w:r>
                </w:p>
                <w:p w:rsidR="00762A02" w:rsidP="00762A02" w14:paraId="1F781C63" w14:textId="77777777">
                  <w:pPr>
                    <w:rPr>
                      <w:b/>
                      <w:bCs/>
                      <w:color w:val="0F243E"/>
                      <w:sz w:val="26"/>
                      <w:szCs w:val="26"/>
                    </w:rPr>
                  </w:pPr>
                </w:p>
                <w:p w:rsidR="00762A02" w:rsidRPr="00250BCC" w:rsidP="00FD7A7D" w14:paraId="5DE5CB8B" w14:textId="558C17F8">
                  <w:pPr>
                    <w:pStyle w:val="ParaNum"/>
                    <w:numPr>
                      <w:ilvl w:val="0"/>
                      <w:numId w:val="0"/>
                    </w:numPr>
                    <w:tabs>
                      <w:tab w:val="left" w:pos="720"/>
                    </w:tabs>
                    <w:spacing w:after="0"/>
                  </w:pPr>
                  <w:r w:rsidRPr="00515975">
                    <w:t xml:space="preserve">WASHINGTON, </w:t>
                  </w:r>
                  <w:r w:rsidR="00DC4793">
                    <w:t>March 15,</w:t>
                  </w:r>
                  <w:r w:rsidRPr="00250BCC">
                    <w:t xml:space="preserve"> </w:t>
                  </w:r>
                  <w:r w:rsidRPr="00515975">
                    <w:t>201</w:t>
                  </w:r>
                  <w:r w:rsidR="002E698E">
                    <w:t>9</w:t>
                  </w:r>
                  <w:r w:rsidRPr="00515975">
                    <w:t xml:space="preserve">—The Federal Communications Commission </w:t>
                  </w:r>
                  <w:r w:rsidR="00B44DAB">
                    <w:t>is</w:t>
                  </w:r>
                  <w:r w:rsidR="00215A2E">
                    <w:t xml:space="preserve"> officially mov</w:t>
                  </w:r>
                  <w:r w:rsidR="00B44DAB">
                    <w:t>ing</w:t>
                  </w:r>
                  <w:r w:rsidR="00215A2E">
                    <w:t xml:space="preserve"> its </w:t>
                  </w:r>
                  <w:r w:rsidRPr="00250BCC">
                    <w:t>Equal Employment Opportunity</w:t>
                  </w:r>
                  <w:r w:rsidRPr="00250BCC" w:rsidR="000E24BF">
                    <w:t xml:space="preserve"> (EEO)</w:t>
                  </w:r>
                  <w:r w:rsidRPr="00250BCC">
                    <w:t xml:space="preserve"> </w:t>
                  </w:r>
                  <w:r w:rsidR="00E01721">
                    <w:t>team</w:t>
                  </w:r>
                  <w:r w:rsidRPr="00250BCC" w:rsidR="00E01721">
                    <w:t xml:space="preserve"> </w:t>
                  </w:r>
                  <w:r w:rsidRPr="00250BCC">
                    <w:t>from the Media Bureau to the Enforcement Bureau</w:t>
                  </w:r>
                  <w:r w:rsidR="00202B86">
                    <w:t>,</w:t>
                  </w:r>
                  <w:r w:rsidR="00B44DAB">
                    <w:t xml:space="preserve"> effective as of today’s publication in th</w:t>
                  </w:r>
                  <w:bookmarkStart w:id="0" w:name="_GoBack"/>
                  <w:bookmarkEnd w:id="0"/>
                  <w:r w:rsidR="00B44DAB">
                    <w:t>e Federal Register.</w:t>
                  </w:r>
                </w:p>
                <w:p w:rsidR="00FD7A7D" w:rsidP="00FD7A7D" w14:paraId="53BE7B92" w14:textId="379321C5">
                  <w:pPr>
                    <w:pStyle w:val="ParaNum"/>
                    <w:numPr>
                      <w:ilvl w:val="0"/>
                      <w:numId w:val="0"/>
                    </w:numPr>
                    <w:tabs>
                      <w:tab w:val="left" w:pos="720"/>
                    </w:tabs>
                    <w:spacing w:after="0"/>
                  </w:pPr>
                </w:p>
                <w:p w:rsidR="00215A2E" w:rsidP="00FD7A7D" w14:paraId="22834ACD" w14:textId="4E7955ED">
                  <w:pPr>
                    <w:pStyle w:val="ParaNum"/>
                    <w:numPr>
                      <w:ilvl w:val="0"/>
                      <w:numId w:val="0"/>
                    </w:numPr>
                    <w:tabs>
                      <w:tab w:val="left" w:pos="720"/>
                    </w:tabs>
                    <w:spacing w:after="0"/>
                  </w:pPr>
                  <w:r>
                    <w:t xml:space="preserve">“By moving our Equal Employment Opportunity team to the Enforcement Bureau, we will improve the FCC’s enforcement of these rules and strengthen our commitment to fighting discrimination,” said FCC Chairman Ajit Pai.  “For </w:t>
                  </w:r>
                  <w:r w:rsidR="008875F2">
                    <w:t>half a century</w:t>
                  </w:r>
                  <w:r w:rsidR="00E42E17">
                    <w:t>,</w:t>
                  </w:r>
                  <w:r>
                    <w:t xml:space="preserve"> the</w:t>
                  </w:r>
                  <w:r w:rsidRPr="00250BCC">
                    <w:t xml:space="preserve"> FCC </w:t>
                  </w:r>
                  <w:r>
                    <w:t xml:space="preserve">has been tasked with </w:t>
                  </w:r>
                  <w:r w:rsidRPr="00250BCC">
                    <w:t>ensur</w:t>
                  </w:r>
                  <w:r>
                    <w:t>ing</w:t>
                  </w:r>
                  <w:r w:rsidRPr="00250BCC">
                    <w:t xml:space="preserve"> that </w:t>
                  </w:r>
                  <w:r w:rsidRPr="003D7E90">
                    <w:t>broadcasters</w:t>
                  </w:r>
                  <w:r w:rsidRPr="002C75C2" w:rsidR="003D7E90">
                    <w:rPr>
                      <w:color w:val="000000"/>
                      <w:shd w:val="clear" w:color="auto" w:fill="FFFFFF"/>
                    </w:rPr>
                    <w:t>, cable operators, and other multichannel video programming distributors</w:t>
                  </w:r>
                  <w:r w:rsidR="0078511F">
                    <w:rPr>
                      <w:color w:val="000000"/>
                      <w:shd w:val="clear" w:color="auto" w:fill="FFFFFF"/>
                    </w:rPr>
                    <w:t xml:space="preserve"> </w:t>
                  </w:r>
                  <w:r w:rsidR="008875F2">
                    <w:rPr>
                      <w:color w:val="000000"/>
                      <w:shd w:val="clear" w:color="auto" w:fill="FFFFFF"/>
                    </w:rPr>
                    <w:t xml:space="preserve">comply with </w:t>
                  </w:r>
                  <w:r w:rsidRPr="00250BCC" w:rsidR="008875F2">
                    <w:t>our national policy against discrimination in hiring</w:t>
                  </w:r>
                  <w:r w:rsidR="008875F2">
                    <w:t xml:space="preserve">. </w:t>
                  </w:r>
                  <w:r w:rsidRPr="00250BCC" w:rsidR="008875F2">
                    <w:t xml:space="preserve"> </w:t>
                  </w:r>
                  <w:r w:rsidR="008875F2">
                    <w:rPr>
                      <w:color w:val="000000"/>
                      <w:shd w:val="clear" w:color="auto" w:fill="FFFFFF"/>
                    </w:rPr>
                    <w:t>T</w:t>
                  </w:r>
                  <w:r w:rsidRPr="003D7E90">
                    <w:t xml:space="preserve">his </w:t>
                  </w:r>
                  <w:r w:rsidR="008875F2">
                    <w:t xml:space="preserve">reform </w:t>
                  </w:r>
                  <w:r w:rsidRPr="003D7E90">
                    <w:t>wi</w:t>
                  </w:r>
                  <w:r>
                    <w:t xml:space="preserve">ll help </w:t>
                  </w:r>
                  <w:r w:rsidR="008875F2">
                    <w:t>us fulfill that charge</w:t>
                  </w:r>
                  <w:r>
                    <w:t>.  I thank all those involved in this modernization process.”</w:t>
                  </w:r>
                  <w:r w:rsidRPr="00250BCC">
                    <w:t xml:space="preserve"> </w:t>
                  </w:r>
                </w:p>
                <w:p w:rsidR="00215A2E" w:rsidRPr="00250BCC" w:rsidP="00215A2E" w14:paraId="4AA3255C" w14:textId="77777777">
                  <w:pPr>
                    <w:pStyle w:val="ParaNum"/>
                    <w:numPr>
                      <w:ilvl w:val="0"/>
                      <w:numId w:val="0"/>
                    </w:numPr>
                    <w:tabs>
                      <w:tab w:val="left" w:pos="720"/>
                    </w:tabs>
                    <w:spacing w:after="0"/>
                  </w:pPr>
                </w:p>
                <w:p w:rsidR="00215A2E" w:rsidRPr="00250BCC" w:rsidP="00215A2E" w14:paraId="6FDD1442" w14:textId="433A7B58">
                  <w:pPr>
                    <w:pStyle w:val="ParaNum"/>
                    <w:numPr>
                      <w:ilvl w:val="0"/>
                      <w:numId w:val="0"/>
                    </w:numPr>
                    <w:tabs>
                      <w:tab w:val="left" w:pos="720"/>
                    </w:tabs>
                    <w:spacing w:after="0"/>
                  </w:pPr>
                  <w:r w:rsidRPr="00515975">
                    <w:t xml:space="preserve">The EEO team’s work is primarily focused on periodic random audits of broadcast licensee and </w:t>
                  </w:r>
                  <w:r w:rsidRPr="002C75C2" w:rsidR="009F2E59">
                    <w:rPr>
                      <w:color w:val="000000"/>
                      <w:shd w:val="clear" w:color="auto" w:fill="FFFFFF"/>
                    </w:rPr>
                    <w:t>multichannel video programming distributors</w:t>
                  </w:r>
                  <w:r w:rsidRPr="00515975" w:rsidR="009F2E59">
                    <w:t xml:space="preserve"> </w:t>
                  </w:r>
                  <w:r w:rsidR="009F2E59">
                    <w:t>(</w:t>
                  </w:r>
                  <w:r w:rsidRPr="00515975">
                    <w:t>MVPD</w:t>
                  </w:r>
                  <w:r w:rsidR="009F2E59">
                    <w:t>)</w:t>
                  </w:r>
                  <w:r w:rsidRPr="00515975">
                    <w:t xml:space="preserve"> EEO programs</w:t>
                  </w:r>
                  <w:r>
                    <w:t xml:space="preserve">, </w:t>
                  </w:r>
                  <w:r w:rsidRPr="00515975">
                    <w:t xml:space="preserve">along with any necessary enforcement actions arising from those audits.  The team also investigates complaints and takes enforcement action based on those investigations when necessary.  </w:t>
                  </w:r>
                </w:p>
                <w:p w:rsidR="00215A2E" w:rsidRPr="00515975" w:rsidP="00FD7A7D" w14:paraId="2925AE3A" w14:textId="77777777">
                  <w:pPr>
                    <w:pStyle w:val="ParaNum"/>
                    <w:numPr>
                      <w:ilvl w:val="0"/>
                      <w:numId w:val="0"/>
                    </w:numPr>
                    <w:tabs>
                      <w:tab w:val="left" w:pos="720"/>
                    </w:tabs>
                    <w:spacing w:after="0"/>
                  </w:pPr>
                </w:p>
                <w:p w:rsidR="000E24BF" w:rsidRPr="00250BCC" w:rsidP="005973F6" w14:paraId="4D977557" w14:textId="168B9748">
                  <w:pPr>
                    <w:pStyle w:val="ParaNum"/>
                    <w:numPr>
                      <w:ilvl w:val="0"/>
                      <w:numId w:val="0"/>
                    </w:numPr>
                    <w:tabs>
                      <w:tab w:val="left" w:pos="720"/>
                    </w:tabs>
                    <w:spacing w:after="0"/>
                  </w:pPr>
                  <w:r>
                    <w:t xml:space="preserve">The FCC </w:t>
                  </w:r>
                  <w:r w:rsidRPr="00515975" w:rsidR="00762A02">
                    <w:t xml:space="preserve">voted </w:t>
                  </w:r>
                  <w:r>
                    <w:t xml:space="preserve">in 2018 </w:t>
                  </w:r>
                  <w:r w:rsidRPr="00515975" w:rsidR="00762A02">
                    <w:t xml:space="preserve">to </w:t>
                  </w:r>
                  <w:r w:rsidRPr="00250BCC" w:rsidR="00762A02">
                    <w:t>move its EEO audit and enforcement functions to the Enforcement Bureau to better serve the public interest and improve the Commission’s operations.  Th</w:t>
                  </w:r>
                  <w:r w:rsidRPr="00250BCC">
                    <w:t>is transfer required approval from the House and Senate Appropriations Committee</w:t>
                  </w:r>
                  <w:r w:rsidR="008875F2">
                    <w:t>s</w:t>
                  </w:r>
                  <w:r w:rsidRPr="00250BCC">
                    <w:t xml:space="preserve"> and the Office of Management and Budget.  </w:t>
                  </w:r>
                  <w:r w:rsidR="00081CF8">
                    <w:t>The FCC also</w:t>
                  </w:r>
                  <w:r w:rsidR="008F0EFF">
                    <w:t xml:space="preserve"> negotiated an agreement regarding the implementation of the realignment </w:t>
                  </w:r>
                  <w:r w:rsidRPr="00250BCC">
                    <w:t>with the National Treasury Employees Union.  All of these steps have now been completed, which clears the way for the move</w:t>
                  </w:r>
                  <w:r w:rsidR="00515975">
                    <w:t xml:space="preserve"> effective immediately</w:t>
                  </w:r>
                  <w:r w:rsidRPr="00250BCC">
                    <w:t>.</w:t>
                  </w:r>
                </w:p>
                <w:p w:rsidR="00B25F80" w:rsidRPr="00515975" w:rsidP="00874C9F" w14:paraId="415632FE" w14:textId="77777777">
                  <w:pPr>
                    <w:pStyle w:val="ParaNum"/>
                    <w:numPr>
                      <w:ilvl w:val="0"/>
                      <w:numId w:val="0"/>
                    </w:numPr>
                    <w:tabs>
                      <w:tab w:val="left" w:pos="720"/>
                    </w:tabs>
                    <w:spacing w:after="0"/>
                    <w:rPr>
                      <w:rStyle w:val="Hyperlink"/>
                      <w:color w:val="auto"/>
                      <w:u w:val="none"/>
                    </w:rPr>
                  </w:pPr>
                </w:p>
                <w:p w:rsidR="00762A02" w:rsidP="00762A02" w14:paraId="22EF06DA" w14:textId="77777777">
                  <w:pPr>
                    <w:ind w:right="72"/>
                    <w:jc w:val="center"/>
                  </w:pPr>
                  <w:r>
                    <w:rPr>
                      <w:sz w:val="22"/>
                      <w:szCs w:val="22"/>
                    </w:rPr>
                    <w:t>###</w:t>
                  </w:r>
                </w:p>
                <w:p w:rsidR="00913404" w:rsidRPr="0080486B" w:rsidP="00913404" w14:paraId="5EB938EF" w14:textId="77777777">
                  <w:pPr>
                    <w:ind w:right="72"/>
                    <w:jc w:val="center"/>
                    <w:rPr>
                      <w:rStyle w:val="Hyperlink"/>
                      <w:b/>
                      <w:bCs/>
                      <w:color w:val="auto"/>
                      <w:sz w:val="17"/>
                      <w:szCs w:val="17"/>
                    </w:rPr>
                  </w:pPr>
                  <w:r>
                    <w:rPr>
                      <w:b/>
                      <w:bCs/>
                      <w:sz w:val="22"/>
                      <w:szCs w:val="22"/>
                    </w:rPr>
                    <w:br/>
                  </w:r>
                  <w:r w:rsidRPr="0080486B">
                    <w:rPr>
                      <w:b/>
                      <w:bCs/>
                      <w:sz w:val="17"/>
                      <w:szCs w:val="17"/>
                    </w:rPr>
                    <w:t xml:space="preserve">Media Relations: (202) 418-0500 / ASL: (844) 432-2275 / TTY: (888) 835-5322 / Twitter: @FCC / </w:t>
                  </w:r>
                  <w:r w:rsidRPr="0080486B">
                    <w:rPr>
                      <w:b/>
                      <w:sz w:val="17"/>
                      <w:szCs w:val="17"/>
                    </w:rPr>
                    <w:t>www.fcc.gov</w:t>
                  </w:r>
                  <w:r w:rsidRPr="0080486B">
                    <w:rPr>
                      <w:b/>
                      <w:bCs/>
                      <w:sz w:val="17"/>
                      <w:szCs w:val="17"/>
                    </w:rPr>
                    <w:t xml:space="preserve"> </w:t>
                  </w:r>
                </w:p>
                <w:p w:rsidR="00913404" w:rsidRPr="00EE0E90" w:rsidP="00913404" w14:paraId="02CA1660" w14:textId="77777777">
                  <w:pPr>
                    <w:ind w:right="72"/>
                    <w:jc w:val="center"/>
                    <w:rPr>
                      <w:b/>
                      <w:bCs/>
                      <w:sz w:val="18"/>
                      <w:szCs w:val="18"/>
                    </w:rPr>
                  </w:pPr>
                </w:p>
                <w:p w:rsidR="00913404" w:rsidP="00913404" w14:paraId="46E6A519" w14:textId="1DC9036B">
                  <w:pPr>
                    <w:ind w:right="72"/>
                    <w:jc w:val="center"/>
                    <w:rPr>
                      <w:i/>
                      <w:iCs/>
                      <w:sz w:val="18"/>
                      <w:szCs w:val="18"/>
                    </w:rPr>
                  </w:pPr>
                  <w:r w:rsidRPr="00EF729B">
                    <w:rPr>
                      <w:bCs/>
                      <w:i/>
                      <w:sz w:val="16"/>
                      <w:szCs w:val="16"/>
                    </w:rPr>
                    <w:t>This is an unofficial announcement of Commission action.  Release of the full text of a Commission order constitutes official action.  See MCI v. FCC, 515 F.2d 385 (D.C. Cir. 1974).</w:t>
                  </w:r>
                </w:p>
                <w:p w:rsidR="00762A02" w:rsidP="00762A02" w14:paraId="28F80B2E" w14:textId="31A92865">
                  <w:pPr>
                    <w:ind w:right="72"/>
                    <w:jc w:val="center"/>
                    <w:rPr>
                      <w:i/>
                      <w:iCs/>
                      <w:sz w:val="18"/>
                      <w:szCs w:val="18"/>
                    </w:rPr>
                  </w:pPr>
                </w:p>
              </w:tc>
            </w:tr>
          </w:tbl>
          <w:p w:rsidR="00762A02" w:rsidP="00762A02" w14:paraId="5B14AD6D" w14:textId="77777777">
            <w:pPr>
              <w:rPr>
                <w:b/>
                <w:bCs/>
                <w:sz w:val="2"/>
                <w:szCs w:val="2"/>
              </w:rPr>
            </w:pPr>
          </w:p>
          <w:p w:rsidR="00762A02" w14:paraId="434E0D75" w14:textId="77777777">
            <w:pPr>
              <w:ind w:right="72"/>
              <w:jc w:val="center"/>
              <w:rPr>
                <w:i/>
                <w:iCs/>
                <w:sz w:val="18"/>
                <w:szCs w:val="18"/>
              </w:rPr>
            </w:pPr>
          </w:p>
        </w:tc>
      </w:tr>
    </w:tbl>
    <w:p w:rsidR="00762A02" w:rsidP="00762A02" w14:paraId="2251937D" w14:textId="77777777">
      <w:pPr>
        <w:rPr>
          <w:b/>
          <w:bCs/>
          <w:sz w:val="2"/>
          <w:szCs w:val="2"/>
        </w:rPr>
      </w:pPr>
    </w:p>
    <w:p w:rsidR="00F72607" w14:paraId="2E93E360" w14:textId="77777777"/>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A02"/>
    <w:rsid w:val="00081CF8"/>
    <w:rsid w:val="000E24BF"/>
    <w:rsid w:val="000F6F02"/>
    <w:rsid w:val="00202B86"/>
    <w:rsid w:val="00215A2E"/>
    <w:rsid w:val="00250BCC"/>
    <w:rsid w:val="002C75C2"/>
    <w:rsid w:val="002E698E"/>
    <w:rsid w:val="003B211E"/>
    <w:rsid w:val="003D7E90"/>
    <w:rsid w:val="004C6A00"/>
    <w:rsid w:val="00515975"/>
    <w:rsid w:val="005973F6"/>
    <w:rsid w:val="005A2E80"/>
    <w:rsid w:val="006F3E37"/>
    <w:rsid w:val="00762A02"/>
    <w:rsid w:val="0078511F"/>
    <w:rsid w:val="007D077C"/>
    <w:rsid w:val="0080486B"/>
    <w:rsid w:val="00852ACD"/>
    <w:rsid w:val="008577A3"/>
    <w:rsid w:val="00874C9F"/>
    <w:rsid w:val="00883B51"/>
    <w:rsid w:val="008875F2"/>
    <w:rsid w:val="008B2AF7"/>
    <w:rsid w:val="008F0EFF"/>
    <w:rsid w:val="0090141F"/>
    <w:rsid w:val="00904393"/>
    <w:rsid w:val="00913404"/>
    <w:rsid w:val="009F2E59"/>
    <w:rsid w:val="00B25F80"/>
    <w:rsid w:val="00B44DAB"/>
    <w:rsid w:val="00B92783"/>
    <w:rsid w:val="00BB0E52"/>
    <w:rsid w:val="00C80EB1"/>
    <w:rsid w:val="00C90C0D"/>
    <w:rsid w:val="00DC4793"/>
    <w:rsid w:val="00E01721"/>
    <w:rsid w:val="00E42E17"/>
    <w:rsid w:val="00EE0E90"/>
    <w:rsid w:val="00EF729B"/>
    <w:rsid w:val="00F72607"/>
    <w:rsid w:val="00FD7A7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3370C17E-FF00-4282-AB0F-7B0B7FB5D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hAnsi="Arial" w:eastAsiaTheme="minorHAnsi" w:cstheme="minorBidi"/>
        <w:sz w:val="22"/>
        <w:szCs w:val="28"/>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2A02"/>
    <w:pPr>
      <w:spacing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62A02"/>
    <w:rPr>
      <w:color w:val="0000FF"/>
      <w:u w:val="single"/>
    </w:rPr>
  </w:style>
  <w:style w:type="paragraph" w:customStyle="1" w:styleId="ParaNum">
    <w:name w:val="ParaNum"/>
    <w:basedOn w:val="Normal"/>
    <w:rsid w:val="00762A02"/>
    <w:pPr>
      <w:numPr>
        <w:numId w:val="1"/>
      </w:numPr>
      <w:snapToGrid w:val="0"/>
      <w:spacing w:after="120"/>
    </w:pPr>
    <w:rPr>
      <w:sz w:val="22"/>
      <w:szCs w:val="22"/>
    </w:rPr>
  </w:style>
  <w:style w:type="paragraph" w:styleId="BalloonText">
    <w:name w:val="Balloon Text"/>
    <w:basedOn w:val="Normal"/>
    <w:link w:val="BalloonTextChar"/>
    <w:uiPriority w:val="99"/>
    <w:semiHidden/>
    <w:unhideWhenUsed/>
    <w:rsid w:val="005159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5975"/>
    <w:rPr>
      <w:rFonts w:ascii="Segoe UI" w:hAnsi="Segoe UI" w:cs="Segoe UI"/>
      <w:sz w:val="18"/>
      <w:szCs w:val="18"/>
    </w:rPr>
  </w:style>
  <w:style w:type="character" w:styleId="CommentReference">
    <w:name w:val="annotation reference"/>
    <w:basedOn w:val="DefaultParagraphFont"/>
    <w:uiPriority w:val="99"/>
    <w:semiHidden/>
    <w:unhideWhenUsed/>
    <w:rsid w:val="00515975"/>
    <w:rPr>
      <w:sz w:val="16"/>
      <w:szCs w:val="16"/>
    </w:rPr>
  </w:style>
  <w:style w:type="paragraph" w:styleId="CommentText">
    <w:name w:val="annotation text"/>
    <w:basedOn w:val="Normal"/>
    <w:link w:val="CommentTextChar"/>
    <w:uiPriority w:val="99"/>
    <w:semiHidden/>
    <w:unhideWhenUsed/>
    <w:rsid w:val="00515975"/>
    <w:rPr>
      <w:sz w:val="20"/>
      <w:szCs w:val="20"/>
    </w:rPr>
  </w:style>
  <w:style w:type="character" w:customStyle="1" w:styleId="CommentTextChar">
    <w:name w:val="Comment Text Char"/>
    <w:basedOn w:val="DefaultParagraphFont"/>
    <w:link w:val="CommentText"/>
    <w:uiPriority w:val="99"/>
    <w:semiHidden/>
    <w:rsid w:val="00515975"/>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15975"/>
    <w:rPr>
      <w:b/>
      <w:bCs/>
    </w:rPr>
  </w:style>
  <w:style w:type="character" w:customStyle="1" w:styleId="CommentSubjectChar">
    <w:name w:val="Comment Subject Char"/>
    <w:basedOn w:val="CommentTextChar"/>
    <w:link w:val="CommentSubject"/>
    <w:uiPriority w:val="99"/>
    <w:semiHidden/>
    <w:rsid w:val="00515975"/>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image" Target="cid:image001.jpg@01D46C5C.22068270" TargetMode="Externa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