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366A76F4" w14:textId="77777777" w:rsidTr="009F1E14">
        <w:tblPrEx>
          <w:tblW w:w="0" w:type="auto"/>
          <w:tblLook w:val="0000"/>
        </w:tblPrEx>
        <w:trPr>
          <w:trHeight w:val="14490"/>
        </w:trPr>
        <w:tc>
          <w:tcPr>
            <w:tcW w:w="8856" w:type="dxa"/>
          </w:tcPr>
          <w:p w:rsidR="00FF232D" w:rsidP="006A7D75" w14:paraId="443FF375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983995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1A5D65" w:rsidP="00B57131" w14:paraId="646BBBA0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1409C717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7664A" w:rsidP="00BB4E29" w14:paraId="5627684A" w14:textId="77B704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Neil Grace</w:t>
            </w:r>
            <w:r w:rsidRPr="0087664A" w:rsidR="0074469D">
              <w:rPr>
                <w:bCs/>
                <w:sz w:val="22"/>
                <w:szCs w:val="22"/>
              </w:rPr>
              <w:t>,</w:t>
            </w:r>
            <w:r w:rsidRPr="0087664A" w:rsidR="005F5348">
              <w:rPr>
                <w:bCs/>
                <w:sz w:val="22"/>
                <w:szCs w:val="22"/>
              </w:rPr>
              <w:t xml:space="preserve"> </w:t>
            </w:r>
            <w:r w:rsidRPr="0087664A" w:rsidR="00AC0A38">
              <w:rPr>
                <w:bCs/>
                <w:sz w:val="22"/>
                <w:szCs w:val="22"/>
              </w:rPr>
              <w:t>(</w:t>
            </w:r>
            <w:r w:rsidRPr="0087664A" w:rsidR="005F5348">
              <w:rPr>
                <w:bCs/>
                <w:sz w:val="22"/>
                <w:szCs w:val="22"/>
              </w:rPr>
              <w:t>202</w:t>
            </w:r>
            <w:r w:rsidRPr="0087664A" w:rsidR="00AC0A38">
              <w:rPr>
                <w:bCs/>
                <w:sz w:val="22"/>
                <w:szCs w:val="22"/>
              </w:rPr>
              <w:t xml:space="preserve">) </w:t>
            </w:r>
            <w:r w:rsidRPr="0087664A" w:rsidR="005F5348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0506</w:t>
            </w:r>
          </w:p>
          <w:p w:rsidR="00FF232D" w:rsidRPr="008A3940" w:rsidP="00BB4E29" w14:paraId="40D8BBCB" w14:textId="43232D3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neil.grace</w:t>
            </w:r>
            <w:r w:rsidRPr="0087664A" w:rsidR="007768C8">
              <w:rPr>
                <w:bCs/>
                <w:sz w:val="22"/>
                <w:szCs w:val="22"/>
              </w:rPr>
              <w:t>@</w:t>
            </w:r>
            <w:r w:rsidRPr="0087664A" w:rsidR="007A44F8">
              <w:rPr>
                <w:bCs/>
                <w:sz w:val="22"/>
                <w:szCs w:val="22"/>
              </w:rPr>
              <w:t>fcc.gov</w:t>
            </w:r>
          </w:p>
          <w:p w:rsidR="007A44F8" w:rsidRPr="008A3940" w:rsidP="00BB4E29" w14:paraId="55A93D93" w14:textId="77777777">
            <w:pPr>
              <w:rPr>
                <w:bCs/>
                <w:sz w:val="22"/>
                <w:szCs w:val="22"/>
              </w:rPr>
            </w:pPr>
          </w:p>
          <w:p w:rsidR="007A44F8" w:rsidRPr="008A67D3" w:rsidP="00BB4E29" w14:paraId="58AC20A5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8A67D3" w:rsidP="00BB4E29" w14:paraId="5E6D3786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07543" w:rsidP="00954DCB" w14:paraId="1EF80ADD" w14:textId="425B93FD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bookmarkStart w:id="1" w:name="_Hlk3301891"/>
            <w:r>
              <w:rPr>
                <w:b/>
                <w:bCs/>
                <w:sz w:val="26"/>
                <w:szCs w:val="26"/>
              </w:rPr>
              <w:t xml:space="preserve">FCC </w:t>
            </w:r>
            <w:r w:rsidR="00D94357">
              <w:rPr>
                <w:b/>
                <w:bCs/>
                <w:sz w:val="26"/>
                <w:szCs w:val="26"/>
              </w:rPr>
              <w:t>TAKES STEPS TO</w:t>
            </w:r>
            <w:r w:rsidR="006E6B8F">
              <w:rPr>
                <w:b/>
                <w:bCs/>
                <w:sz w:val="26"/>
                <w:szCs w:val="26"/>
              </w:rPr>
              <w:t xml:space="preserve"> </w:t>
            </w:r>
            <w:r w:rsidR="0074469D">
              <w:rPr>
                <w:b/>
                <w:bCs/>
                <w:sz w:val="26"/>
                <w:szCs w:val="26"/>
              </w:rPr>
              <w:t>OPEN SPECTRUM HORIZONS</w:t>
            </w:r>
            <w:r w:rsidR="00C93594">
              <w:rPr>
                <w:b/>
                <w:bCs/>
                <w:sz w:val="26"/>
                <w:szCs w:val="26"/>
              </w:rPr>
              <w:t xml:space="preserve"> </w:t>
            </w:r>
            <w:r w:rsidR="006D6CB2">
              <w:rPr>
                <w:b/>
                <w:bCs/>
                <w:sz w:val="26"/>
                <w:szCs w:val="26"/>
              </w:rPr>
              <w:t>FOR</w:t>
            </w:r>
            <w:r w:rsidR="006E6B8F">
              <w:rPr>
                <w:b/>
                <w:bCs/>
                <w:sz w:val="26"/>
                <w:szCs w:val="26"/>
              </w:rPr>
              <w:t xml:space="preserve"> NEW SERVICES </w:t>
            </w:r>
            <w:r w:rsidR="006D6CB2">
              <w:rPr>
                <w:b/>
                <w:bCs/>
                <w:sz w:val="26"/>
                <w:szCs w:val="26"/>
              </w:rPr>
              <w:t xml:space="preserve">AND </w:t>
            </w:r>
            <w:r w:rsidR="006E6B8F">
              <w:rPr>
                <w:b/>
                <w:bCs/>
                <w:sz w:val="26"/>
                <w:szCs w:val="26"/>
              </w:rPr>
              <w:t xml:space="preserve">TECHNOLOGIES </w:t>
            </w:r>
          </w:p>
          <w:p w:rsidR="00F61155" w:rsidRPr="006B0A70" w:rsidP="0087664A" w14:paraId="1864D67C" w14:textId="77777777">
            <w:pPr>
              <w:tabs>
                <w:tab w:val="left" w:pos="8625"/>
              </w:tabs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</w:p>
          <w:p w:rsidR="007959FB" w:rsidP="00AA2FC3" w14:paraId="6F851E7F" w14:textId="0B8298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WASHINGTON, </w:t>
            </w:r>
            <w:r w:rsidR="00D94357">
              <w:rPr>
                <w:sz w:val="22"/>
                <w:szCs w:val="22"/>
              </w:rPr>
              <w:t>March</w:t>
            </w:r>
            <w:r>
              <w:rPr>
                <w:sz w:val="22"/>
                <w:szCs w:val="22"/>
              </w:rPr>
              <w:t xml:space="preserve"> </w:t>
            </w:r>
            <w:r w:rsidR="00BB09A0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 201</w:t>
            </w:r>
            <w:r w:rsidR="00D94357">
              <w:rPr>
                <w:sz w:val="22"/>
                <w:szCs w:val="22"/>
              </w:rPr>
              <w:t>9</w:t>
            </w:r>
            <w:r w:rsidR="006D6CB2">
              <w:rPr>
                <w:sz w:val="22"/>
                <w:szCs w:val="22"/>
              </w:rPr>
              <w:t>—</w:t>
            </w:r>
            <w:r w:rsidR="00AA2FC3">
              <w:rPr>
                <w:sz w:val="22"/>
                <w:szCs w:val="22"/>
              </w:rPr>
              <w:t>The Federal Communications Commission</w:t>
            </w:r>
            <w:r>
              <w:rPr>
                <w:sz w:val="22"/>
                <w:szCs w:val="22"/>
              </w:rPr>
              <w:t xml:space="preserve"> </w:t>
            </w:r>
            <w:r w:rsidR="00AA3FC4">
              <w:rPr>
                <w:sz w:val="22"/>
                <w:szCs w:val="22"/>
              </w:rPr>
              <w:t xml:space="preserve">adopted </w:t>
            </w:r>
            <w:r w:rsidR="00BB09A0">
              <w:rPr>
                <w:sz w:val="22"/>
                <w:szCs w:val="22"/>
              </w:rPr>
              <w:t>new rules</w:t>
            </w:r>
            <w:r w:rsidR="002F55E3">
              <w:rPr>
                <w:sz w:val="22"/>
                <w:szCs w:val="22"/>
              </w:rPr>
              <w:t xml:space="preserve"> t</w:t>
            </w:r>
            <w:r w:rsidR="00F07075">
              <w:rPr>
                <w:sz w:val="22"/>
                <w:szCs w:val="22"/>
              </w:rPr>
              <w:t xml:space="preserve">o encourage the development of </w:t>
            </w:r>
            <w:r w:rsidR="002F55E3">
              <w:rPr>
                <w:sz w:val="22"/>
                <w:szCs w:val="22"/>
              </w:rPr>
              <w:t xml:space="preserve">new </w:t>
            </w:r>
            <w:r w:rsidR="00D06E0D">
              <w:rPr>
                <w:sz w:val="22"/>
                <w:szCs w:val="22"/>
              </w:rPr>
              <w:t xml:space="preserve">communications technologies and </w:t>
            </w:r>
            <w:r w:rsidR="00F07075">
              <w:rPr>
                <w:sz w:val="22"/>
                <w:szCs w:val="22"/>
              </w:rPr>
              <w:t>expedite the deployment of new services</w:t>
            </w:r>
            <w:r w:rsidR="002F55E3">
              <w:rPr>
                <w:sz w:val="22"/>
                <w:szCs w:val="22"/>
              </w:rPr>
              <w:t xml:space="preserve"> in the </w:t>
            </w:r>
            <w:r>
              <w:rPr>
                <w:sz w:val="22"/>
                <w:szCs w:val="22"/>
              </w:rPr>
              <w:t xml:space="preserve">spectrum </w:t>
            </w:r>
            <w:r w:rsidR="0038538C">
              <w:rPr>
                <w:sz w:val="22"/>
                <w:szCs w:val="22"/>
              </w:rPr>
              <w:t xml:space="preserve">above 95 GHz.  </w:t>
            </w:r>
            <w:r w:rsidR="00F07075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his spectrum has long been considered </w:t>
            </w:r>
            <w:r w:rsidR="00501E1A">
              <w:rPr>
                <w:sz w:val="22"/>
                <w:szCs w:val="22"/>
              </w:rPr>
              <w:t>the outermost horizon of the</w:t>
            </w:r>
            <w:r>
              <w:rPr>
                <w:sz w:val="22"/>
                <w:szCs w:val="22"/>
              </w:rPr>
              <w:t xml:space="preserve"> usable spectrum range</w:t>
            </w:r>
            <w:r>
              <w:rPr>
                <w:sz w:val="22"/>
                <w:szCs w:val="22"/>
              </w:rPr>
              <w:t xml:space="preserve">, </w:t>
            </w:r>
            <w:r w:rsidR="00F07075">
              <w:rPr>
                <w:sz w:val="22"/>
                <w:szCs w:val="22"/>
              </w:rPr>
              <w:t xml:space="preserve">but </w:t>
            </w:r>
            <w:r w:rsidR="00D06E0D">
              <w:rPr>
                <w:sz w:val="22"/>
                <w:szCs w:val="22"/>
              </w:rPr>
              <w:t xml:space="preserve">rapid </w:t>
            </w:r>
            <w:r>
              <w:rPr>
                <w:sz w:val="22"/>
                <w:szCs w:val="22"/>
              </w:rPr>
              <w:t xml:space="preserve">advancements in radio technology </w:t>
            </w:r>
            <w:r w:rsidR="00D06E0D">
              <w:rPr>
                <w:sz w:val="22"/>
                <w:szCs w:val="22"/>
              </w:rPr>
              <w:t xml:space="preserve">have </w:t>
            </w:r>
            <w:r>
              <w:rPr>
                <w:sz w:val="22"/>
                <w:szCs w:val="22"/>
              </w:rPr>
              <w:t>ma</w:t>
            </w:r>
            <w:r w:rsidR="00F07075">
              <w:rPr>
                <w:sz w:val="22"/>
                <w:szCs w:val="22"/>
              </w:rPr>
              <w:t>de</w:t>
            </w:r>
            <w:r>
              <w:rPr>
                <w:sz w:val="22"/>
                <w:szCs w:val="22"/>
              </w:rPr>
              <w:t xml:space="preserve"> these bands </w:t>
            </w:r>
            <w:r w:rsidR="00BF2180">
              <w:rPr>
                <w:sz w:val="22"/>
                <w:szCs w:val="22"/>
              </w:rPr>
              <w:t xml:space="preserve">especially </w:t>
            </w:r>
            <w:r>
              <w:rPr>
                <w:sz w:val="22"/>
                <w:szCs w:val="22"/>
              </w:rPr>
              <w:t xml:space="preserve">ripe for </w:t>
            </w:r>
            <w:r w:rsidR="00BF2180">
              <w:rPr>
                <w:sz w:val="22"/>
                <w:szCs w:val="22"/>
              </w:rPr>
              <w:t>new development</w:t>
            </w:r>
            <w:r w:rsidR="004C422D">
              <w:rPr>
                <w:sz w:val="22"/>
                <w:szCs w:val="22"/>
              </w:rPr>
              <w:t>.</w:t>
            </w:r>
          </w:p>
          <w:p w:rsidR="007959FB" w:rsidP="00AA2FC3" w14:paraId="60EFEAF7" w14:textId="77777777">
            <w:pPr>
              <w:rPr>
                <w:sz w:val="22"/>
                <w:szCs w:val="22"/>
              </w:rPr>
            </w:pPr>
          </w:p>
          <w:p w:rsidR="00954DCB" w:rsidP="00AA2FC3" w14:paraId="6F15F73F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F07075">
              <w:rPr>
                <w:sz w:val="22"/>
                <w:szCs w:val="22"/>
              </w:rPr>
              <w:t xml:space="preserve">here are </w:t>
            </w:r>
            <w:r w:rsidR="0095181D">
              <w:rPr>
                <w:sz w:val="22"/>
                <w:szCs w:val="22"/>
              </w:rPr>
              <w:t xml:space="preserve">substantial opportunities for </w:t>
            </w:r>
            <w:r w:rsidR="00F07075">
              <w:rPr>
                <w:sz w:val="22"/>
                <w:szCs w:val="22"/>
              </w:rPr>
              <w:t>innovation</w:t>
            </w:r>
            <w:r>
              <w:rPr>
                <w:sz w:val="22"/>
                <w:szCs w:val="22"/>
              </w:rPr>
              <w:t xml:space="preserve"> in these frequencies,</w:t>
            </w:r>
            <w:r w:rsidR="00F07075">
              <w:rPr>
                <w:sz w:val="22"/>
                <w:szCs w:val="22"/>
              </w:rPr>
              <w:t xml:space="preserve"> </w:t>
            </w:r>
            <w:r w:rsidR="00087785">
              <w:rPr>
                <w:sz w:val="22"/>
                <w:szCs w:val="22"/>
              </w:rPr>
              <w:t xml:space="preserve">especially for </w:t>
            </w:r>
            <w:r w:rsidR="00F07075">
              <w:rPr>
                <w:sz w:val="22"/>
                <w:szCs w:val="22"/>
              </w:rPr>
              <w:t>d</w:t>
            </w:r>
            <w:r w:rsidR="006A2C3D">
              <w:rPr>
                <w:sz w:val="22"/>
                <w:szCs w:val="22"/>
              </w:rPr>
              <w:t>ata-intensive</w:t>
            </w:r>
            <w:r w:rsidR="00504BBE">
              <w:rPr>
                <w:sz w:val="22"/>
                <w:szCs w:val="22"/>
              </w:rPr>
              <w:t xml:space="preserve"> high-bandwidth applications </w:t>
            </w:r>
            <w:r w:rsidR="00F07075">
              <w:rPr>
                <w:sz w:val="22"/>
                <w:szCs w:val="22"/>
              </w:rPr>
              <w:t>as well as</w:t>
            </w:r>
            <w:r w:rsidR="006A2C3D">
              <w:rPr>
                <w:sz w:val="22"/>
                <w:szCs w:val="22"/>
              </w:rPr>
              <w:t xml:space="preserve"> imaging and sensing operations</w:t>
            </w:r>
            <w:r w:rsidR="00087785">
              <w:rPr>
                <w:sz w:val="22"/>
                <w:szCs w:val="22"/>
              </w:rPr>
              <w:t xml:space="preserve">. </w:t>
            </w:r>
            <w:r w:rsidR="006A2C3D">
              <w:rPr>
                <w:sz w:val="22"/>
                <w:szCs w:val="22"/>
              </w:rPr>
              <w:t xml:space="preserve"> </w:t>
            </w:r>
            <w:r w:rsidR="00504BBE">
              <w:rPr>
                <w:sz w:val="22"/>
                <w:szCs w:val="22"/>
              </w:rPr>
              <w:t>Prior to this decision, t</w:t>
            </w:r>
            <w:r w:rsidR="004C422D">
              <w:rPr>
                <w:sz w:val="22"/>
                <w:szCs w:val="22"/>
              </w:rPr>
              <w:t>he Commission ha</w:t>
            </w:r>
            <w:r w:rsidR="0095181D">
              <w:rPr>
                <w:sz w:val="22"/>
                <w:szCs w:val="22"/>
              </w:rPr>
              <w:t>d</w:t>
            </w:r>
            <w:r w:rsidR="004C422D">
              <w:rPr>
                <w:sz w:val="22"/>
                <w:szCs w:val="22"/>
              </w:rPr>
              <w:t xml:space="preserve"> no rules </w:t>
            </w:r>
            <w:r w:rsidR="00504BBE">
              <w:rPr>
                <w:sz w:val="22"/>
                <w:szCs w:val="22"/>
              </w:rPr>
              <w:t xml:space="preserve">for authorizing communications </w:t>
            </w:r>
            <w:r w:rsidR="004C422D">
              <w:rPr>
                <w:sz w:val="22"/>
                <w:szCs w:val="22"/>
              </w:rPr>
              <w:t>above 95</w:t>
            </w:r>
            <w:r>
              <w:rPr>
                <w:sz w:val="22"/>
                <w:szCs w:val="22"/>
              </w:rPr>
              <w:t> </w:t>
            </w:r>
            <w:r w:rsidR="004C422D">
              <w:rPr>
                <w:sz w:val="22"/>
                <w:szCs w:val="22"/>
              </w:rPr>
              <w:t xml:space="preserve">GHz, other than by amateur operators or </w:t>
            </w:r>
            <w:r w:rsidR="006A2C3D">
              <w:rPr>
                <w:sz w:val="22"/>
                <w:szCs w:val="22"/>
              </w:rPr>
              <w:t>through experiments of limited duration and scope.</w:t>
            </w:r>
            <w:r w:rsidR="005F5348">
              <w:rPr>
                <w:sz w:val="22"/>
                <w:szCs w:val="22"/>
              </w:rPr>
              <w:t xml:space="preserve">  </w:t>
            </w:r>
          </w:p>
          <w:p w:rsidR="00954DCB" w:rsidP="00AA2FC3" w14:paraId="38BB0CD8" w14:textId="77777777">
            <w:pPr>
              <w:rPr>
                <w:sz w:val="22"/>
                <w:szCs w:val="22"/>
              </w:rPr>
            </w:pPr>
          </w:p>
          <w:p w:rsidR="002F55E3" w:rsidP="002F55E3" w14:paraId="7AE8961A" w14:textId="3F152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enable innovators and entrepreneurs to </w:t>
            </w:r>
            <w:r w:rsidR="0038538C">
              <w:rPr>
                <w:sz w:val="22"/>
                <w:szCs w:val="22"/>
              </w:rPr>
              <w:t>most readily access</w:t>
            </w:r>
            <w:r>
              <w:rPr>
                <w:sz w:val="22"/>
                <w:szCs w:val="22"/>
              </w:rPr>
              <w:t xml:space="preserve"> this spectrum, the Spectrum Horizons </w:t>
            </w:r>
            <w:r w:rsidR="00D13079">
              <w:rPr>
                <w:sz w:val="22"/>
                <w:szCs w:val="22"/>
              </w:rPr>
              <w:t xml:space="preserve">First Report and Order </w:t>
            </w:r>
            <w:r w:rsidRPr="0038538C">
              <w:rPr>
                <w:sz w:val="22"/>
                <w:szCs w:val="22"/>
              </w:rPr>
              <w:t>creat</w:t>
            </w:r>
            <w:r w:rsidR="00D13079">
              <w:rPr>
                <w:sz w:val="22"/>
                <w:szCs w:val="22"/>
              </w:rPr>
              <w:t>es</w:t>
            </w:r>
            <w:r w:rsidRPr="0038538C">
              <w:rPr>
                <w:sz w:val="22"/>
                <w:szCs w:val="22"/>
              </w:rPr>
              <w:t xml:space="preserve"> a new category of experimental licenses </w:t>
            </w:r>
            <w:r w:rsidR="00087785">
              <w:rPr>
                <w:sz w:val="22"/>
                <w:szCs w:val="22"/>
              </w:rPr>
              <w:t xml:space="preserve">for use of frequencies between </w:t>
            </w:r>
            <w:r w:rsidRPr="0038538C">
              <w:rPr>
                <w:sz w:val="22"/>
                <w:szCs w:val="22"/>
              </w:rPr>
              <w:t xml:space="preserve">95 </w:t>
            </w:r>
            <w:r w:rsidR="00087785">
              <w:rPr>
                <w:sz w:val="22"/>
                <w:szCs w:val="22"/>
              </w:rPr>
              <w:t xml:space="preserve">GHz </w:t>
            </w:r>
            <w:r w:rsidRPr="0038538C">
              <w:rPr>
                <w:sz w:val="22"/>
                <w:szCs w:val="22"/>
              </w:rPr>
              <w:t xml:space="preserve">and 3 </w:t>
            </w:r>
            <w:r w:rsidR="00087785">
              <w:rPr>
                <w:sz w:val="22"/>
                <w:szCs w:val="22"/>
              </w:rPr>
              <w:t>THz</w:t>
            </w:r>
            <w:r w:rsidRPr="0038538C">
              <w:rPr>
                <w:sz w:val="22"/>
                <w:szCs w:val="22"/>
              </w:rPr>
              <w:t>.  Th</w:t>
            </w:r>
            <w:r>
              <w:rPr>
                <w:sz w:val="22"/>
                <w:szCs w:val="22"/>
              </w:rPr>
              <w:t>ese</w:t>
            </w:r>
            <w:r w:rsidRPr="0038538C">
              <w:rPr>
                <w:sz w:val="22"/>
                <w:szCs w:val="22"/>
              </w:rPr>
              <w:t xml:space="preserve"> licenses will give innovators </w:t>
            </w:r>
            <w:r w:rsidR="006A2C3D">
              <w:rPr>
                <w:sz w:val="22"/>
                <w:szCs w:val="22"/>
              </w:rPr>
              <w:t xml:space="preserve">the </w:t>
            </w:r>
            <w:r w:rsidRPr="0038538C">
              <w:rPr>
                <w:sz w:val="22"/>
                <w:szCs w:val="22"/>
              </w:rPr>
              <w:t>flexibility</w:t>
            </w:r>
            <w:r w:rsidR="006A2C3D">
              <w:rPr>
                <w:sz w:val="22"/>
                <w:szCs w:val="22"/>
              </w:rPr>
              <w:t xml:space="preserve"> to conduct experiments lasting up to 10 years, and to more easily </w:t>
            </w:r>
            <w:r w:rsidR="00687D47">
              <w:rPr>
                <w:sz w:val="22"/>
                <w:szCs w:val="22"/>
              </w:rPr>
              <w:t>market</w:t>
            </w:r>
            <w:r w:rsidRPr="0038538C" w:rsidR="00687D47">
              <w:rPr>
                <w:sz w:val="22"/>
                <w:szCs w:val="22"/>
              </w:rPr>
              <w:t xml:space="preserve"> </w:t>
            </w:r>
            <w:r w:rsidRPr="0038538C">
              <w:rPr>
                <w:sz w:val="22"/>
                <w:szCs w:val="22"/>
              </w:rPr>
              <w:t xml:space="preserve">equipment during </w:t>
            </w:r>
            <w:r w:rsidR="00687D47">
              <w:rPr>
                <w:sz w:val="22"/>
                <w:szCs w:val="22"/>
              </w:rPr>
              <w:t>the experimental period</w:t>
            </w:r>
            <w:r>
              <w:rPr>
                <w:sz w:val="22"/>
                <w:szCs w:val="22"/>
              </w:rPr>
              <w:t>.</w:t>
            </w:r>
          </w:p>
          <w:p w:rsidR="0038538C" w:rsidP="00AA2FC3" w14:paraId="47D36944" w14:textId="77777777">
            <w:pPr>
              <w:rPr>
                <w:sz w:val="22"/>
                <w:szCs w:val="22"/>
              </w:rPr>
            </w:pPr>
          </w:p>
          <w:p w:rsidR="0038538C" w:rsidP="0038538C" w14:paraId="147A3F6E" w14:textId="58B11F59">
            <w:pPr>
              <w:rPr>
                <w:sz w:val="22"/>
                <w:szCs w:val="22"/>
              </w:rPr>
            </w:pPr>
            <w:r w:rsidRPr="0038538C">
              <w:rPr>
                <w:sz w:val="22"/>
                <w:szCs w:val="22"/>
              </w:rPr>
              <w:t xml:space="preserve">The item </w:t>
            </w:r>
            <w:r w:rsidR="002F18F0">
              <w:rPr>
                <w:sz w:val="22"/>
                <w:szCs w:val="22"/>
              </w:rPr>
              <w:t xml:space="preserve">also </w:t>
            </w:r>
            <w:r w:rsidRPr="0038538C">
              <w:rPr>
                <w:sz w:val="22"/>
                <w:szCs w:val="22"/>
              </w:rPr>
              <w:t>mak</w:t>
            </w:r>
            <w:r w:rsidR="00D13079">
              <w:rPr>
                <w:sz w:val="22"/>
                <w:szCs w:val="22"/>
              </w:rPr>
              <w:t>es</w:t>
            </w:r>
            <w:r w:rsidR="006E6B8F">
              <w:rPr>
                <w:sz w:val="22"/>
                <w:szCs w:val="22"/>
              </w:rPr>
              <w:t xml:space="preserve"> a total of</w:t>
            </w:r>
            <w:r w:rsidRPr="0038538C">
              <w:rPr>
                <w:sz w:val="22"/>
                <w:szCs w:val="22"/>
              </w:rPr>
              <w:t xml:space="preserve"> </w:t>
            </w:r>
            <w:r w:rsidR="00D13079">
              <w:rPr>
                <w:sz w:val="22"/>
                <w:szCs w:val="22"/>
              </w:rPr>
              <w:t>21</w:t>
            </w:r>
            <w:r w:rsidRPr="0038538C">
              <w:rPr>
                <w:sz w:val="22"/>
                <w:szCs w:val="22"/>
              </w:rPr>
              <w:t>.2 gigahertz of spectrum available</w:t>
            </w:r>
            <w:r>
              <w:rPr>
                <w:sz w:val="22"/>
                <w:szCs w:val="22"/>
              </w:rPr>
              <w:t xml:space="preserve"> for use by unlicensed devices</w:t>
            </w:r>
            <w:r w:rsidRPr="0038538C">
              <w:rPr>
                <w:sz w:val="22"/>
                <w:szCs w:val="22"/>
              </w:rPr>
              <w:t>.</w:t>
            </w:r>
            <w:r w:rsidR="00FE439E">
              <w:rPr>
                <w:sz w:val="22"/>
                <w:szCs w:val="22"/>
              </w:rPr>
              <w:t xml:space="preserve">  The Commission </w:t>
            </w:r>
            <w:r w:rsidR="00087785">
              <w:rPr>
                <w:sz w:val="22"/>
                <w:szCs w:val="22"/>
              </w:rPr>
              <w:t xml:space="preserve">selected </w:t>
            </w:r>
            <w:r w:rsidR="00FE439E">
              <w:rPr>
                <w:sz w:val="22"/>
                <w:szCs w:val="22"/>
              </w:rPr>
              <w:t xml:space="preserve">bands </w:t>
            </w:r>
            <w:r w:rsidR="0087664A">
              <w:rPr>
                <w:sz w:val="22"/>
                <w:szCs w:val="22"/>
              </w:rPr>
              <w:t>with</w:t>
            </w:r>
            <w:r w:rsidR="00FE439E">
              <w:rPr>
                <w:sz w:val="22"/>
                <w:szCs w:val="22"/>
              </w:rPr>
              <w:t xml:space="preserve"> propagation characteristics </w:t>
            </w:r>
            <w:r w:rsidR="0087664A">
              <w:rPr>
                <w:sz w:val="22"/>
                <w:szCs w:val="22"/>
              </w:rPr>
              <w:t xml:space="preserve">that </w:t>
            </w:r>
            <w:r w:rsidR="00FE439E">
              <w:rPr>
                <w:sz w:val="22"/>
                <w:szCs w:val="22"/>
              </w:rPr>
              <w:t>will</w:t>
            </w:r>
            <w:r w:rsidRPr="0038538C">
              <w:rPr>
                <w:sz w:val="22"/>
                <w:szCs w:val="22"/>
              </w:rPr>
              <w:t xml:space="preserve"> permit large numbers of unlicensed devices to </w:t>
            </w:r>
            <w:r w:rsidR="00BF2180">
              <w:rPr>
                <w:sz w:val="22"/>
                <w:szCs w:val="22"/>
              </w:rPr>
              <w:t>use</w:t>
            </w:r>
            <w:r w:rsidRPr="0038538C">
              <w:rPr>
                <w:sz w:val="22"/>
                <w:szCs w:val="22"/>
              </w:rPr>
              <w:t xml:space="preserve"> the spectrum</w:t>
            </w:r>
            <w:r w:rsidR="00FE439E">
              <w:rPr>
                <w:sz w:val="22"/>
                <w:szCs w:val="22"/>
              </w:rPr>
              <w:t xml:space="preserve">, while limiting </w:t>
            </w:r>
            <w:r w:rsidR="00087785">
              <w:rPr>
                <w:sz w:val="22"/>
                <w:szCs w:val="22"/>
              </w:rPr>
              <w:t xml:space="preserve">the </w:t>
            </w:r>
            <w:r w:rsidR="00FE439E">
              <w:rPr>
                <w:sz w:val="22"/>
                <w:szCs w:val="22"/>
              </w:rPr>
              <w:t>potential for interference to existing governmental and scientific operations in the above-95 GHz bands, such as space research and atmospheric sensing.</w:t>
            </w:r>
          </w:p>
          <w:p w:rsidR="00FE439E" w:rsidP="0038538C" w14:paraId="30E01DC1" w14:textId="77777777">
            <w:pPr>
              <w:rPr>
                <w:sz w:val="22"/>
                <w:szCs w:val="22"/>
              </w:rPr>
            </w:pPr>
          </w:p>
          <w:p w:rsidR="00FE439E" w:rsidP="0038538C" w14:paraId="20E230D5" w14:textId="37442D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First Report and Order provides unprecedented opportunities for new experimental and unlicensed use in the frequencies above 95 GHz</w:t>
            </w:r>
            <w:r w:rsidR="000370EC">
              <w:rPr>
                <w:sz w:val="22"/>
                <w:szCs w:val="22"/>
              </w:rPr>
              <w:t xml:space="preserve"> and will help ensure that the United States stays at the forefront of wireless innovation</w:t>
            </w:r>
            <w:r>
              <w:rPr>
                <w:sz w:val="22"/>
                <w:szCs w:val="22"/>
              </w:rPr>
              <w:t xml:space="preserve">.  </w:t>
            </w:r>
            <w:r w:rsidR="005C4125">
              <w:rPr>
                <w:sz w:val="22"/>
                <w:szCs w:val="22"/>
              </w:rPr>
              <w:t xml:space="preserve">Moreover, </w:t>
            </w:r>
            <w:r w:rsidR="00A51B33">
              <w:rPr>
                <w:sz w:val="22"/>
                <w:szCs w:val="22"/>
              </w:rPr>
              <w:t xml:space="preserve">study of </w:t>
            </w:r>
            <w:r w:rsidR="00BD6183">
              <w:rPr>
                <w:sz w:val="22"/>
                <w:szCs w:val="22"/>
              </w:rPr>
              <w:t xml:space="preserve">these uses </w:t>
            </w:r>
            <w:r w:rsidR="00D06E0D">
              <w:rPr>
                <w:sz w:val="22"/>
                <w:szCs w:val="22"/>
              </w:rPr>
              <w:t xml:space="preserve">could ultimately lead to further </w:t>
            </w:r>
            <w:r w:rsidR="00BD4097">
              <w:rPr>
                <w:sz w:val="22"/>
                <w:szCs w:val="22"/>
              </w:rPr>
              <w:t>rulemaking actions</w:t>
            </w:r>
            <w:r w:rsidR="00D06E0D">
              <w:rPr>
                <w:sz w:val="22"/>
                <w:szCs w:val="22"/>
              </w:rPr>
              <w:t xml:space="preserve"> and </w:t>
            </w:r>
            <w:r w:rsidR="00BD4097">
              <w:rPr>
                <w:sz w:val="22"/>
                <w:szCs w:val="22"/>
              </w:rPr>
              <w:t>additional licensing</w:t>
            </w:r>
            <w:r w:rsidR="00BF2180">
              <w:rPr>
                <w:sz w:val="22"/>
                <w:szCs w:val="22"/>
              </w:rPr>
              <w:t xml:space="preserve"> </w:t>
            </w:r>
            <w:r w:rsidR="00D06E0D">
              <w:rPr>
                <w:sz w:val="22"/>
                <w:szCs w:val="22"/>
              </w:rPr>
              <w:t xml:space="preserve">opportunities within the Spectrum Horizons bands.  </w:t>
            </w:r>
            <w:r>
              <w:rPr>
                <w:sz w:val="22"/>
                <w:szCs w:val="22"/>
              </w:rPr>
              <w:t xml:space="preserve"> </w:t>
            </w:r>
          </w:p>
          <w:p w:rsidR="00AA2FC3" w:rsidP="00AA2FC3" w14:paraId="20782C4E" w14:textId="77777777">
            <w:pPr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38538C">
              <w:rPr>
                <w:sz w:val="22"/>
                <w:szCs w:val="22"/>
              </w:rPr>
              <w:t xml:space="preserve">  </w:t>
            </w:r>
          </w:p>
          <w:p w:rsidR="00C03280" w:rsidRPr="00C03280" w:rsidP="00C03280" w14:paraId="0C980D58" w14:textId="6745586E">
            <w:pPr>
              <w:ind w:right="14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C03280">
              <w:rPr>
                <w:rFonts w:eastAsia="MS Mincho"/>
                <w:bCs/>
                <w:sz w:val="22"/>
                <w:szCs w:val="22"/>
                <w:lang w:eastAsia="ja-JP"/>
              </w:rPr>
              <w:t>Action by the Commission November 17, 2019 by First Report and Order (FCC 19-19).  Chairman Pai, Commissioners O’Rielly, Carr, Rosenworcel, an</w:t>
            </w:r>
            <w:r w:rsidRPr="009F1E14">
              <w:rPr>
                <w:rFonts w:eastAsia="MS Mincho"/>
                <w:bCs/>
                <w:sz w:val="22"/>
                <w:szCs w:val="22"/>
                <w:shd w:val="clear" w:color="auto" w:fill="FFFFFF" w:themeFill="background1"/>
                <w:lang w:eastAsia="ja-JP"/>
              </w:rPr>
              <w:t>d Starks approving</w:t>
            </w:r>
            <w:r w:rsidRPr="009F1E14" w:rsidR="009F1E14">
              <w:rPr>
                <w:rFonts w:eastAsia="MS Mincho"/>
                <w:bCs/>
                <w:sz w:val="22"/>
                <w:szCs w:val="22"/>
                <w:shd w:val="clear" w:color="auto" w:fill="FFFFFF" w:themeFill="background1"/>
                <w:lang w:eastAsia="ja-JP"/>
              </w:rPr>
              <w:t xml:space="preserve"> and </w:t>
            </w:r>
            <w:r w:rsidRPr="009F1E14">
              <w:rPr>
                <w:rFonts w:eastAsia="MS Mincho"/>
                <w:bCs/>
                <w:sz w:val="22"/>
                <w:szCs w:val="22"/>
                <w:shd w:val="clear" w:color="auto" w:fill="FFFFFF" w:themeFill="background1"/>
                <w:lang w:eastAsia="ja-JP"/>
              </w:rPr>
              <w:t>issuing separate statements.</w:t>
            </w:r>
          </w:p>
          <w:bookmarkEnd w:id="1"/>
          <w:p w:rsidR="009F1E14" w:rsidP="0087664A" w14:paraId="0E514FFD" w14:textId="77777777">
            <w:pPr>
              <w:ind w:right="14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  <w:p w:rsidR="007F5609" w:rsidP="0087664A" w14:paraId="6E1D2C81" w14:textId="6B3C95F2">
            <w:pPr>
              <w:ind w:right="14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8A67D3">
              <w:rPr>
                <w:rFonts w:eastAsia="MS Mincho"/>
                <w:bCs/>
                <w:sz w:val="22"/>
                <w:szCs w:val="22"/>
                <w:lang w:eastAsia="ja-JP"/>
              </w:rPr>
              <w:t>ET Docket No. 18-21; RM-11795</w:t>
            </w:r>
          </w:p>
          <w:p w:rsidR="001A5D65" w:rsidRPr="00B9551B" w:rsidP="0087664A" w14:paraId="3F1D9938" w14:textId="77777777">
            <w:pPr>
              <w:ind w:right="144"/>
              <w:rPr>
                <w:b/>
                <w:sz w:val="22"/>
                <w:szCs w:val="22"/>
              </w:rPr>
            </w:pPr>
          </w:p>
          <w:p w:rsidR="008A67D3" w:rsidRPr="000F58A6" w:rsidP="008A67D3" w14:paraId="70413FFB" w14:textId="7777777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</w:p>
          <w:p w:rsidR="00BB09A0" w:rsidRPr="0080486B" w:rsidP="00BB09A0" w14:paraId="12406869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0F58A6">
              <w:rPr>
                <w:b/>
                <w:bCs/>
                <w:sz w:val="22"/>
                <w:szCs w:val="22"/>
              </w:rPr>
              <w:br/>
            </w:r>
            <w:r w:rsidRPr="0080486B">
              <w:rPr>
                <w:b/>
                <w:bCs/>
                <w:sz w:val="17"/>
                <w:szCs w:val="17"/>
              </w:rPr>
              <w:t xml:space="preserve">Media Relations: (202) 418-0500 / ASL: (844) 432-2275 / TTY: (888) 835-5322 / Twitter: @FCC / </w:t>
            </w:r>
            <w:r w:rsidRPr="0080486B">
              <w:rPr>
                <w:b/>
                <w:sz w:val="17"/>
                <w:szCs w:val="17"/>
              </w:rPr>
              <w:t>www.fcc.gov</w:t>
            </w:r>
            <w:r w:rsidRPr="0080486B">
              <w:rPr>
                <w:b/>
                <w:bCs/>
                <w:sz w:val="17"/>
                <w:szCs w:val="17"/>
              </w:rPr>
              <w:t xml:space="preserve"> </w:t>
            </w:r>
          </w:p>
          <w:p w:rsidR="00BB09A0" w:rsidRPr="00EE0E90" w:rsidP="00BB09A0" w14:paraId="4BF25118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644FE" w:rsidP="00142C13" w14:paraId="02F61AB0" w14:textId="2267329D">
            <w:pPr>
              <w:ind w:left="360" w:right="498"/>
              <w:jc w:val="center"/>
              <w:rPr>
                <w:b/>
                <w:bCs/>
                <w:sz w:val="18"/>
                <w:szCs w:val="18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P="00171E84" w14:paraId="2D623E25" w14:textId="77777777">
      <w:pPr>
        <w:rPr>
          <w:b/>
          <w:bCs/>
          <w:sz w:val="32"/>
          <w:szCs w:val="32"/>
        </w:rPr>
      </w:pPr>
    </w:p>
    <w:sectPr w:rsidSect="009F1E14">
      <w:pgSz w:w="12240" w:h="15840"/>
      <w:pgMar w:top="63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F1F"/>
    <w:rsid w:val="00001E1E"/>
    <w:rsid w:val="00001EFE"/>
    <w:rsid w:val="00006218"/>
    <w:rsid w:val="0002500C"/>
    <w:rsid w:val="000311FC"/>
    <w:rsid w:val="000370EC"/>
    <w:rsid w:val="00040127"/>
    <w:rsid w:val="00055CAC"/>
    <w:rsid w:val="00081232"/>
    <w:rsid w:val="00087785"/>
    <w:rsid w:val="00091E65"/>
    <w:rsid w:val="00096D4A"/>
    <w:rsid w:val="000A38EA"/>
    <w:rsid w:val="000C1E47"/>
    <w:rsid w:val="000C26F3"/>
    <w:rsid w:val="000E049E"/>
    <w:rsid w:val="000F58A6"/>
    <w:rsid w:val="001013AC"/>
    <w:rsid w:val="0010799B"/>
    <w:rsid w:val="00110CA4"/>
    <w:rsid w:val="00117DB2"/>
    <w:rsid w:val="00123ED2"/>
    <w:rsid w:val="00125BE0"/>
    <w:rsid w:val="00142C13"/>
    <w:rsid w:val="00144EC9"/>
    <w:rsid w:val="00152776"/>
    <w:rsid w:val="00153222"/>
    <w:rsid w:val="001577D3"/>
    <w:rsid w:val="00171E84"/>
    <w:rsid w:val="001733A6"/>
    <w:rsid w:val="001755B5"/>
    <w:rsid w:val="001865A9"/>
    <w:rsid w:val="00187DB2"/>
    <w:rsid w:val="001A5D65"/>
    <w:rsid w:val="001B20BB"/>
    <w:rsid w:val="001C4370"/>
    <w:rsid w:val="001D3779"/>
    <w:rsid w:val="001D7042"/>
    <w:rsid w:val="001F0469"/>
    <w:rsid w:val="002011D4"/>
    <w:rsid w:val="00203A98"/>
    <w:rsid w:val="00206EDD"/>
    <w:rsid w:val="0021247E"/>
    <w:rsid w:val="002146F6"/>
    <w:rsid w:val="00230589"/>
    <w:rsid w:val="00231C32"/>
    <w:rsid w:val="00240345"/>
    <w:rsid w:val="002421F0"/>
    <w:rsid w:val="00247274"/>
    <w:rsid w:val="00266966"/>
    <w:rsid w:val="002772AF"/>
    <w:rsid w:val="00283AF5"/>
    <w:rsid w:val="00294C0C"/>
    <w:rsid w:val="002A0934"/>
    <w:rsid w:val="002B1013"/>
    <w:rsid w:val="002C0D3A"/>
    <w:rsid w:val="002D03E5"/>
    <w:rsid w:val="002E1E22"/>
    <w:rsid w:val="002E2F7D"/>
    <w:rsid w:val="002E3F1D"/>
    <w:rsid w:val="002F18F0"/>
    <w:rsid w:val="002F31D0"/>
    <w:rsid w:val="002F55E3"/>
    <w:rsid w:val="00300359"/>
    <w:rsid w:val="00303778"/>
    <w:rsid w:val="0031773E"/>
    <w:rsid w:val="00347716"/>
    <w:rsid w:val="003506E1"/>
    <w:rsid w:val="003657B5"/>
    <w:rsid w:val="003727E3"/>
    <w:rsid w:val="00377E79"/>
    <w:rsid w:val="0038538C"/>
    <w:rsid w:val="00385A93"/>
    <w:rsid w:val="003910F1"/>
    <w:rsid w:val="00397707"/>
    <w:rsid w:val="003E42FC"/>
    <w:rsid w:val="003E5991"/>
    <w:rsid w:val="003E5BA8"/>
    <w:rsid w:val="003F344A"/>
    <w:rsid w:val="00403FF0"/>
    <w:rsid w:val="0040640A"/>
    <w:rsid w:val="0042046D"/>
    <w:rsid w:val="00425AEF"/>
    <w:rsid w:val="00426518"/>
    <w:rsid w:val="00427B06"/>
    <w:rsid w:val="00441F59"/>
    <w:rsid w:val="00444E07"/>
    <w:rsid w:val="00444FA9"/>
    <w:rsid w:val="004636C7"/>
    <w:rsid w:val="00473E9C"/>
    <w:rsid w:val="00474F33"/>
    <w:rsid w:val="00480099"/>
    <w:rsid w:val="00497858"/>
    <w:rsid w:val="004B4FEA"/>
    <w:rsid w:val="004C0ADA"/>
    <w:rsid w:val="004C422D"/>
    <w:rsid w:val="004C433E"/>
    <w:rsid w:val="004C4512"/>
    <w:rsid w:val="004C4F36"/>
    <w:rsid w:val="004C5477"/>
    <w:rsid w:val="004D3D85"/>
    <w:rsid w:val="004E2BD8"/>
    <w:rsid w:val="004F0F1F"/>
    <w:rsid w:val="00501E1A"/>
    <w:rsid w:val="005022AA"/>
    <w:rsid w:val="00504845"/>
    <w:rsid w:val="00504BBE"/>
    <w:rsid w:val="0050757F"/>
    <w:rsid w:val="00516AD2"/>
    <w:rsid w:val="00545DAE"/>
    <w:rsid w:val="00565DDF"/>
    <w:rsid w:val="00571B83"/>
    <w:rsid w:val="00575A00"/>
    <w:rsid w:val="0058673C"/>
    <w:rsid w:val="005A7972"/>
    <w:rsid w:val="005B17E7"/>
    <w:rsid w:val="005B2643"/>
    <w:rsid w:val="005C4125"/>
    <w:rsid w:val="005D17FD"/>
    <w:rsid w:val="005E3C14"/>
    <w:rsid w:val="005F0D55"/>
    <w:rsid w:val="005F183E"/>
    <w:rsid w:val="005F5348"/>
    <w:rsid w:val="00600DDA"/>
    <w:rsid w:val="00604211"/>
    <w:rsid w:val="00610DC7"/>
    <w:rsid w:val="00613498"/>
    <w:rsid w:val="00617B94"/>
    <w:rsid w:val="00620BED"/>
    <w:rsid w:val="006415B4"/>
    <w:rsid w:val="00644E3D"/>
    <w:rsid w:val="00646989"/>
    <w:rsid w:val="00651B9E"/>
    <w:rsid w:val="00652019"/>
    <w:rsid w:val="00657EC9"/>
    <w:rsid w:val="00665633"/>
    <w:rsid w:val="00674C86"/>
    <w:rsid w:val="0068015E"/>
    <w:rsid w:val="006861AB"/>
    <w:rsid w:val="00686882"/>
    <w:rsid w:val="00686B89"/>
    <w:rsid w:val="00686FD2"/>
    <w:rsid w:val="00687D47"/>
    <w:rsid w:val="006A2C3D"/>
    <w:rsid w:val="006A2FC5"/>
    <w:rsid w:val="006A7D75"/>
    <w:rsid w:val="006B0A70"/>
    <w:rsid w:val="006B606A"/>
    <w:rsid w:val="006C3237"/>
    <w:rsid w:val="006C33AF"/>
    <w:rsid w:val="006D5D22"/>
    <w:rsid w:val="006D6CB2"/>
    <w:rsid w:val="006E0324"/>
    <w:rsid w:val="006E4A76"/>
    <w:rsid w:val="006E5648"/>
    <w:rsid w:val="006E6B8F"/>
    <w:rsid w:val="006F1DBD"/>
    <w:rsid w:val="00700556"/>
    <w:rsid w:val="00711831"/>
    <w:rsid w:val="007167DD"/>
    <w:rsid w:val="00721337"/>
    <w:rsid w:val="0072478B"/>
    <w:rsid w:val="0073414D"/>
    <w:rsid w:val="0074469D"/>
    <w:rsid w:val="0075235E"/>
    <w:rsid w:val="007732CC"/>
    <w:rsid w:val="00774079"/>
    <w:rsid w:val="007768C8"/>
    <w:rsid w:val="0077752B"/>
    <w:rsid w:val="00793D6F"/>
    <w:rsid w:val="00794090"/>
    <w:rsid w:val="007959FB"/>
    <w:rsid w:val="007A44F8"/>
    <w:rsid w:val="007D21BF"/>
    <w:rsid w:val="007F3C12"/>
    <w:rsid w:val="007F5205"/>
    <w:rsid w:val="007F5609"/>
    <w:rsid w:val="00802EC4"/>
    <w:rsid w:val="0080486B"/>
    <w:rsid w:val="00817860"/>
    <w:rsid w:val="008215E7"/>
    <w:rsid w:val="00830FC6"/>
    <w:rsid w:val="00850E26"/>
    <w:rsid w:val="00854AFF"/>
    <w:rsid w:val="00865EAA"/>
    <w:rsid w:val="00866205"/>
    <w:rsid w:val="00866F06"/>
    <w:rsid w:val="008728F5"/>
    <w:rsid w:val="0087664A"/>
    <w:rsid w:val="00881C86"/>
    <w:rsid w:val="008824C2"/>
    <w:rsid w:val="00893536"/>
    <w:rsid w:val="008948BE"/>
    <w:rsid w:val="008960E4"/>
    <w:rsid w:val="00896B0E"/>
    <w:rsid w:val="008A3940"/>
    <w:rsid w:val="008A67D3"/>
    <w:rsid w:val="008B13C9"/>
    <w:rsid w:val="008C0C23"/>
    <w:rsid w:val="008C248C"/>
    <w:rsid w:val="008C5432"/>
    <w:rsid w:val="008C7BF1"/>
    <w:rsid w:val="008D00D6"/>
    <w:rsid w:val="008D4D00"/>
    <w:rsid w:val="008D4E5E"/>
    <w:rsid w:val="008D7ABD"/>
    <w:rsid w:val="008E55A2"/>
    <w:rsid w:val="008E774F"/>
    <w:rsid w:val="008F1609"/>
    <w:rsid w:val="008F78D8"/>
    <w:rsid w:val="00935ED9"/>
    <w:rsid w:val="00947BCF"/>
    <w:rsid w:val="0095181D"/>
    <w:rsid w:val="00954DCB"/>
    <w:rsid w:val="00961620"/>
    <w:rsid w:val="00971D74"/>
    <w:rsid w:val="009734B6"/>
    <w:rsid w:val="0098096F"/>
    <w:rsid w:val="0098437A"/>
    <w:rsid w:val="00986C92"/>
    <w:rsid w:val="00993C47"/>
    <w:rsid w:val="009B4B16"/>
    <w:rsid w:val="009E2B9F"/>
    <w:rsid w:val="009E54A1"/>
    <w:rsid w:val="009F1E14"/>
    <w:rsid w:val="009F4E25"/>
    <w:rsid w:val="009F5B1F"/>
    <w:rsid w:val="00A0102A"/>
    <w:rsid w:val="00A02436"/>
    <w:rsid w:val="00A16B6E"/>
    <w:rsid w:val="00A17F8B"/>
    <w:rsid w:val="00A35DFD"/>
    <w:rsid w:val="00A51B33"/>
    <w:rsid w:val="00A524E6"/>
    <w:rsid w:val="00A702DF"/>
    <w:rsid w:val="00A71E8B"/>
    <w:rsid w:val="00A771CD"/>
    <w:rsid w:val="00A775A3"/>
    <w:rsid w:val="00A81B5B"/>
    <w:rsid w:val="00A82FAD"/>
    <w:rsid w:val="00A9673A"/>
    <w:rsid w:val="00A96EF2"/>
    <w:rsid w:val="00AA2FC3"/>
    <w:rsid w:val="00AA3FC4"/>
    <w:rsid w:val="00AA5C35"/>
    <w:rsid w:val="00AA5ED9"/>
    <w:rsid w:val="00AB7C01"/>
    <w:rsid w:val="00AC0A38"/>
    <w:rsid w:val="00AC4E0E"/>
    <w:rsid w:val="00AC517B"/>
    <w:rsid w:val="00AD0D19"/>
    <w:rsid w:val="00AD197B"/>
    <w:rsid w:val="00AF051B"/>
    <w:rsid w:val="00B02C05"/>
    <w:rsid w:val="00B037A2"/>
    <w:rsid w:val="00B31870"/>
    <w:rsid w:val="00B320B8"/>
    <w:rsid w:val="00B35EE2"/>
    <w:rsid w:val="00B36DEF"/>
    <w:rsid w:val="00B42015"/>
    <w:rsid w:val="00B57131"/>
    <w:rsid w:val="00B62F2C"/>
    <w:rsid w:val="00B6547F"/>
    <w:rsid w:val="00B7156B"/>
    <w:rsid w:val="00B727C9"/>
    <w:rsid w:val="00B735C8"/>
    <w:rsid w:val="00B76A63"/>
    <w:rsid w:val="00B940F2"/>
    <w:rsid w:val="00B9551B"/>
    <w:rsid w:val="00BA15FC"/>
    <w:rsid w:val="00BA6350"/>
    <w:rsid w:val="00BA7B43"/>
    <w:rsid w:val="00BB09A0"/>
    <w:rsid w:val="00BB4E29"/>
    <w:rsid w:val="00BB74C9"/>
    <w:rsid w:val="00BC3AB6"/>
    <w:rsid w:val="00BC51E9"/>
    <w:rsid w:val="00BD19E8"/>
    <w:rsid w:val="00BD4097"/>
    <w:rsid w:val="00BD4273"/>
    <w:rsid w:val="00BD6183"/>
    <w:rsid w:val="00BF2180"/>
    <w:rsid w:val="00BF4CAB"/>
    <w:rsid w:val="00C03280"/>
    <w:rsid w:val="00C04A06"/>
    <w:rsid w:val="00C432E4"/>
    <w:rsid w:val="00C70C26"/>
    <w:rsid w:val="00C72001"/>
    <w:rsid w:val="00C772B7"/>
    <w:rsid w:val="00C80347"/>
    <w:rsid w:val="00C93594"/>
    <w:rsid w:val="00C95461"/>
    <w:rsid w:val="00CB08DD"/>
    <w:rsid w:val="00CB7C1A"/>
    <w:rsid w:val="00CC5E08"/>
    <w:rsid w:val="00CD4E64"/>
    <w:rsid w:val="00CD716F"/>
    <w:rsid w:val="00CF6860"/>
    <w:rsid w:val="00D02AC6"/>
    <w:rsid w:val="00D03F0C"/>
    <w:rsid w:val="00D04312"/>
    <w:rsid w:val="00D06E0D"/>
    <w:rsid w:val="00D1193D"/>
    <w:rsid w:val="00D13079"/>
    <w:rsid w:val="00D16A7F"/>
    <w:rsid w:val="00D16AD2"/>
    <w:rsid w:val="00D22596"/>
    <w:rsid w:val="00D22691"/>
    <w:rsid w:val="00D24C3D"/>
    <w:rsid w:val="00D27503"/>
    <w:rsid w:val="00D46CB1"/>
    <w:rsid w:val="00D723F0"/>
    <w:rsid w:val="00D8133F"/>
    <w:rsid w:val="00D87F63"/>
    <w:rsid w:val="00D92ECA"/>
    <w:rsid w:val="00D94357"/>
    <w:rsid w:val="00D95B05"/>
    <w:rsid w:val="00D97E2D"/>
    <w:rsid w:val="00DA103D"/>
    <w:rsid w:val="00DA45D3"/>
    <w:rsid w:val="00DA4772"/>
    <w:rsid w:val="00DB2667"/>
    <w:rsid w:val="00DB2D18"/>
    <w:rsid w:val="00DB67B7"/>
    <w:rsid w:val="00DC15A9"/>
    <w:rsid w:val="00DC40AA"/>
    <w:rsid w:val="00DD1750"/>
    <w:rsid w:val="00E0260A"/>
    <w:rsid w:val="00E03BDB"/>
    <w:rsid w:val="00E04BE7"/>
    <w:rsid w:val="00E07543"/>
    <w:rsid w:val="00E20DAA"/>
    <w:rsid w:val="00E23FA5"/>
    <w:rsid w:val="00E349AA"/>
    <w:rsid w:val="00E41390"/>
    <w:rsid w:val="00E41CA0"/>
    <w:rsid w:val="00E4366B"/>
    <w:rsid w:val="00E50A4A"/>
    <w:rsid w:val="00E606DE"/>
    <w:rsid w:val="00E644FE"/>
    <w:rsid w:val="00E64AA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04F74"/>
    <w:rsid w:val="00F07075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9323D"/>
    <w:rsid w:val="00FC6C29"/>
    <w:rsid w:val="00FD58E0"/>
    <w:rsid w:val="00FE0198"/>
    <w:rsid w:val="00FE3A7C"/>
    <w:rsid w:val="00FE439E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6868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868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688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6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6882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868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688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AD19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D197B"/>
  </w:style>
  <w:style w:type="character" w:styleId="FootnoteReference">
    <w:name w:val="footnote reference"/>
    <w:basedOn w:val="DefaultParagraphFont"/>
    <w:semiHidden/>
    <w:unhideWhenUsed/>
    <w:rsid w:val="00AD197B"/>
    <w:rPr>
      <w:vertAlign w:val="superscript"/>
    </w:rPr>
  </w:style>
  <w:style w:type="paragraph" w:styleId="Header">
    <w:name w:val="header"/>
    <w:basedOn w:val="Normal"/>
    <w:link w:val="HeaderChar"/>
    <w:unhideWhenUsed/>
    <w:rsid w:val="00144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4EC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44E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4EC9"/>
    <w:rPr>
      <w:sz w:val="24"/>
      <w:szCs w:val="24"/>
    </w:rPr>
  </w:style>
  <w:style w:type="paragraph" w:styleId="Revision">
    <w:name w:val="Revision"/>
    <w:hidden/>
    <w:uiPriority w:val="99"/>
    <w:semiHidden/>
    <w:rsid w:val="00BB09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