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2091AC5B" w14:textId="77777777" w:rsidTr="003A36B6">
        <w:tblPrEx>
          <w:tblW w:w="0" w:type="auto"/>
          <w:tblLook w:val="0000"/>
        </w:tblPrEx>
        <w:trPr>
          <w:trHeight w:val="13410"/>
        </w:trPr>
        <w:tc>
          <w:tcPr>
            <w:tcW w:w="8234" w:type="dxa"/>
          </w:tcPr>
          <w:p w:rsidR="00FF232D" w:rsidP="006A7D75" w14:paraId="1733C53F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098715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822BC68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7A2B64D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28387D9E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Cecilia Sulhoff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87</w:t>
            </w:r>
          </w:p>
          <w:p w:rsidR="00FF232D" w:rsidRPr="008A3940" w:rsidP="00BB4E29" w14:paraId="1A37E17B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cecilia.sulhoff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6CD1DF4F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A70B94F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6181DCD8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25115E" w14:paraId="4E023FCE" w14:textId="3C240CFA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4D0FD8">
              <w:rPr>
                <w:b/>
                <w:bCs/>
                <w:sz w:val="26"/>
                <w:szCs w:val="26"/>
              </w:rPr>
              <w:t xml:space="preserve">TO </w:t>
            </w:r>
            <w:r w:rsidR="009D2787">
              <w:rPr>
                <w:b/>
                <w:bCs/>
                <w:sz w:val="26"/>
                <w:szCs w:val="26"/>
              </w:rPr>
              <w:t xml:space="preserve">EVALUATE </w:t>
            </w:r>
            <w:r w:rsidR="004D0FD8">
              <w:rPr>
                <w:b/>
                <w:bCs/>
                <w:sz w:val="26"/>
                <w:szCs w:val="26"/>
              </w:rPr>
              <w:t>PARTITIONING</w:t>
            </w:r>
            <w:r w:rsidR="00916A81">
              <w:rPr>
                <w:b/>
                <w:bCs/>
                <w:sz w:val="26"/>
                <w:szCs w:val="26"/>
              </w:rPr>
              <w:t>,</w:t>
            </w:r>
            <w:r w:rsidR="004D0FD8">
              <w:rPr>
                <w:b/>
                <w:bCs/>
                <w:sz w:val="26"/>
                <w:szCs w:val="26"/>
              </w:rPr>
              <w:t xml:space="preserve"> DISAGGREGATION</w:t>
            </w:r>
            <w:r w:rsidR="00F07EBF">
              <w:rPr>
                <w:b/>
                <w:bCs/>
                <w:sz w:val="26"/>
                <w:szCs w:val="26"/>
              </w:rPr>
              <w:t>,</w:t>
            </w:r>
            <w:r w:rsidR="00916A81">
              <w:rPr>
                <w:b/>
                <w:bCs/>
                <w:sz w:val="26"/>
                <w:szCs w:val="26"/>
              </w:rPr>
              <w:t xml:space="preserve"> AND </w:t>
            </w:r>
            <w:r w:rsidR="009E3569">
              <w:rPr>
                <w:b/>
                <w:bCs/>
                <w:sz w:val="26"/>
                <w:szCs w:val="26"/>
              </w:rPr>
              <w:t xml:space="preserve">SPECTRUM </w:t>
            </w:r>
            <w:r w:rsidR="00916A81">
              <w:rPr>
                <w:b/>
                <w:bCs/>
                <w:sz w:val="26"/>
                <w:szCs w:val="26"/>
              </w:rPr>
              <w:t>LEASING</w:t>
            </w:r>
            <w:r w:rsidR="004D0FD8">
              <w:rPr>
                <w:b/>
                <w:bCs/>
                <w:sz w:val="26"/>
                <w:szCs w:val="26"/>
              </w:rPr>
              <w:t xml:space="preserve"> RULES</w:t>
            </w:r>
          </w:p>
          <w:p w:rsidR="00F61155" w:rsidRPr="003E1935" w:rsidP="00BB4E29" w14:paraId="4756ACE9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2"/>
                <w:szCs w:val="22"/>
              </w:rPr>
            </w:pPr>
            <w:r w:rsidRPr="003E1935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Pr="003E1935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>--</w:t>
            </w:r>
            <w:r w:rsidRPr="003E1935" w:rsidR="00347716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:rsidR="002078C3" w:rsidP="00040127" w14:paraId="63342FC6" w14:textId="4C66F6A3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3E1935">
              <w:rPr>
                <w:sz w:val="22"/>
                <w:szCs w:val="22"/>
              </w:rPr>
              <w:t>WASHINGTON</w:t>
            </w:r>
            <w:r w:rsidRPr="004D0FD8">
              <w:rPr>
                <w:sz w:val="22"/>
                <w:szCs w:val="22"/>
              </w:rPr>
              <w:t xml:space="preserve">, </w:t>
            </w:r>
            <w:r w:rsidRPr="004D0FD8">
              <w:rPr>
                <w:sz w:val="22"/>
                <w:szCs w:val="22"/>
              </w:rPr>
              <w:t>March 15</w:t>
            </w:r>
            <w:r w:rsidRPr="004D0FD8" w:rsidR="00065E2D">
              <w:rPr>
                <w:sz w:val="22"/>
                <w:szCs w:val="22"/>
              </w:rPr>
              <w:t>, 201</w:t>
            </w:r>
            <w:r w:rsidRPr="004D0FD8" w:rsidR="007475A1">
              <w:rPr>
                <w:sz w:val="22"/>
                <w:szCs w:val="22"/>
              </w:rPr>
              <w:t>9</w:t>
            </w:r>
            <w:r w:rsidRPr="003E1935" w:rsidR="00D861EE">
              <w:rPr>
                <w:sz w:val="22"/>
                <w:szCs w:val="22"/>
              </w:rPr>
              <w:t>—</w:t>
            </w:r>
            <w:r w:rsidRPr="003E1935" w:rsidR="000E049E">
              <w:rPr>
                <w:sz w:val="22"/>
                <w:szCs w:val="22"/>
              </w:rPr>
              <w:t>The Federal Communications Commission today</w:t>
            </w:r>
            <w:r w:rsidRPr="003E1935" w:rsidR="00040127">
              <w:rPr>
                <w:sz w:val="22"/>
                <w:szCs w:val="22"/>
              </w:rPr>
              <w:t xml:space="preserve"> </w:t>
            </w:r>
            <w:r w:rsidR="0065253F">
              <w:rPr>
                <w:sz w:val="22"/>
                <w:szCs w:val="22"/>
              </w:rPr>
              <w:t>opened a proceeding</w:t>
            </w:r>
            <w:r w:rsidRPr="003E1935">
              <w:rPr>
                <w:sz w:val="22"/>
                <w:szCs w:val="22"/>
              </w:rPr>
              <w:t xml:space="preserve"> </w:t>
            </w:r>
            <w:r w:rsidRPr="003E1935" w:rsidR="003E1935">
              <w:rPr>
                <w:sz w:val="22"/>
                <w:szCs w:val="22"/>
              </w:rPr>
              <w:t xml:space="preserve">to explore how potential changes to </w:t>
            </w:r>
            <w:r w:rsidR="0065253F">
              <w:rPr>
                <w:sz w:val="22"/>
                <w:szCs w:val="22"/>
              </w:rPr>
              <w:t>its</w:t>
            </w:r>
            <w:r w:rsidRPr="003E1935" w:rsidR="003E1935">
              <w:rPr>
                <w:sz w:val="22"/>
                <w:szCs w:val="22"/>
              </w:rPr>
              <w:t xml:space="preserve"> partitioning, disaggregation, and </w:t>
            </w:r>
            <w:r w:rsidR="00A96D92">
              <w:rPr>
                <w:sz w:val="22"/>
                <w:szCs w:val="22"/>
              </w:rPr>
              <w:t xml:space="preserve">spectrum </w:t>
            </w:r>
            <w:r w:rsidRPr="003E1935" w:rsidR="003E1935">
              <w:rPr>
                <w:sz w:val="22"/>
                <w:szCs w:val="22"/>
              </w:rPr>
              <w:t xml:space="preserve">leasing rules might further the </w:t>
            </w:r>
            <w:r w:rsidR="0065253F">
              <w:rPr>
                <w:sz w:val="22"/>
                <w:szCs w:val="22"/>
              </w:rPr>
              <w:t>agency’s</w:t>
            </w:r>
            <w:r w:rsidRPr="003E1935" w:rsidR="003E1935">
              <w:rPr>
                <w:sz w:val="22"/>
                <w:szCs w:val="22"/>
              </w:rPr>
              <w:t xml:space="preserve"> goals of closing the digital divide</w:t>
            </w:r>
            <w:r w:rsidR="007C169E">
              <w:rPr>
                <w:sz w:val="22"/>
                <w:szCs w:val="22"/>
              </w:rPr>
              <w:t xml:space="preserve"> and increasing spectrum access for small carriers and in rural areas</w:t>
            </w:r>
            <w:r w:rsidRPr="003E1935" w:rsidR="003E1935">
              <w:rPr>
                <w:sz w:val="22"/>
                <w:szCs w:val="22"/>
              </w:rPr>
              <w:t>.</w:t>
            </w:r>
            <w:r w:rsidR="00A97A59">
              <w:rPr>
                <w:sz w:val="22"/>
                <w:szCs w:val="22"/>
              </w:rPr>
              <w:t xml:space="preserve">  </w:t>
            </w:r>
          </w:p>
          <w:p w:rsidR="005002E2" w:rsidRPr="003E1935" w:rsidP="00040127" w14:paraId="6419A38E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F07EBF" w:rsidP="00C5104B" w14:paraId="40B6CD6C" w14:textId="0BD50D89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C5104B">
              <w:rPr>
                <w:bCs/>
                <w:sz w:val="22"/>
                <w:szCs w:val="22"/>
              </w:rPr>
              <w:t xml:space="preserve">The </w:t>
            </w:r>
            <w:r w:rsidR="007A1AB3">
              <w:rPr>
                <w:bCs/>
                <w:sz w:val="22"/>
                <w:szCs w:val="22"/>
              </w:rPr>
              <w:t xml:space="preserve">Commission’s </w:t>
            </w:r>
            <w:r w:rsidRPr="00C5104B">
              <w:rPr>
                <w:bCs/>
                <w:sz w:val="22"/>
                <w:szCs w:val="22"/>
              </w:rPr>
              <w:t xml:space="preserve">current </w:t>
            </w:r>
            <w:r w:rsidR="007A1AB3">
              <w:rPr>
                <w:bCs/>
                <w:sz w:val="22"/>
                <w:szCs w:val="22"/>
              </w:rPr>
              <w:t xml:space="preserve">partitioning, disaggregation, and spectrum leasing </w:t>
            </w:r>
            <w:r w:rsidRPr="00C5104B">
              <w:rPr>
                <w:bCs/>
                <w:sz w:val="22"/>
                <w:szCs w:val="22"/>
              </w:rPr>
              <w:t>rules provide licensees flexibility to determine the amount of spectrum they will occupy and the geographic area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91432">
              <w:rPr>
                <w:bCs/>
                <w:sz w:val="22"/>
                <w:szCs w:val="22"/>
              </w:rPr>
              <w:t xml:space="preserve">they will serve, </w:t>
            </w:r>
            <w:r>
              <w:rPr>
                <w:bCs/>
                <w:sz w:val="22"/>
                <w:szCs w:val="22"/>
              </w:rPr>
              <w:t>and</w:t>
            </w:r>
            <w:r w:rsidRPr="00C5104B">
              <w:rPr>
                <w:bCs/>
                <w:sz w:val="22"/>
                <w:szCs w:val="22"/>
              </w:rPr>
              <w:t xml:space="preserve"> </w:t>
            </w:r>
            <w:r w:rsidR="0065253F">
              <w:rPr>
                <w:bCs/>
                <w:sz w:val="22"/>
                <w:szCs w:val="22"/>
              </w:rPr>
              <w:t xml:space="preserve">to </w:t>
            </w:r>
            <w:r w:rsidRPr="00C5104B">
              <w:rPr>
                <w:bCs/>
                <w:sz w:val="22"/>
                <w:szCs w:val="22"/>
              </w:rPr>
              <w:t>allow additional users to gain access to spectrum.</w:t>
            </w:r>
            <w:r w:rsidR="00491432">
              <w:rPr>
                <w:b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The Notice of Proposed Rulemaking satisfies a requirement under the </w:t>
            </w:r>
            <w:r w:rsidRPr="003E1935">
              <w:rPr>
                <w:sz w:val="22"/>
                <w:szCs w:val="22"/>
              </w:rPr>
              <w:t>Making Opportunities for Broadband Investment and Limiting Excessive and Needless Obstacles to Wireless (MOBILE NOW) Act</w:t>
            </w:r>
            <w:r>
              <w:rPr>
                <w:sz w:val="22"/>
                <w:szCs w:val="22"/>
              </w:rPr>
              <w:t xml:space="preserve">. </w:t>
            </w:r>
          </w:p>
          <w:p w:rsidR="00F07EBF" w:rsidP="00C5104B" w14:paraId="7DD18D8D" w14:textId="77777777">
            <w:pPr>
              <w:tabs>
                <w:tab w:val="left" w:pos="8640"/>
              </w:tabs>
              <w:rPr>
                <w:bCs/>
                <w:sz w:val="22"/>
                <w:szCs w:val="22"/>
              </w:rPr>
            </w:pPr>
          </w:p>
          <w:p w:rsidR="00126BEC" w:rsidRPr="003E1935" w:rsidP="00040127" w14:paraId="4B533CA5" w14:textId="1BBF179B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The </w:t>
            </w:r>
            <w:r w:rsidR="00491432">
              <w:rPr>
                <w:bCs/>
                <w:sz w:val="22"/>
                <w:szCs w:val="22"/>
              </w:rPr>
              <w:t xml:space="preserve">Notice </w:t>
            </w:r>
            <w:r>
              <w:rPr>
                <w:bCs/>
                <w:sz w:val="22"/>
                <w:szCs w:val="22"/>
              </w:rPr>
              <w:t>adopted today</w:t>
            </w:r>
            <w:r w:rsidR="00F07EB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is an</w:t>
            </w:r>
            <w:r w:rsidR="00B61467">
              <w:rPr>
                <w:bCs/>
                <w:sz w:val="22"/>
                <w:szCs w:val="22"/>
              </w:rPr>
              <w:t xml:space="preserve"> opportunity to </w:t>
            </w:r>
            <w:r w:rsidR="00A96D92">
              <w:rPr>
                <w:bCs/>
                <w:sz w:val="22"/>
                <w:szCs w:val="22"/>
              </w:rPr>
              <w:t xml:space="preserve">develop a record on </w:t>
            </w:r>
            <w:r w:rsidR="007A1AB3">
              <w:rPr>
                <w:bCs/>
                <w:sz w:val="22"/>
                <w:szCs w:val="22"/>
              </w:rPr>
              <w:t xml:space="preserve">whether </w:t>
            </w:r>
            <w:r w:rsidR="00A96D92">
              <w:rPr>
                <w:bCs/>
                <w:sz w:val="22"/>
                <w:szCs w:val="22"/>
              </w:rPr>
              <w:t>the existing rules</w:t>
            </w:r>
            <w:r w:rsidR="007A1AB3">
              <w:rPr>
                <w:bCs/>
                <w:sz w:val="22"/>
                <w:szCs w:val="22"/>
              </w:rPr>
              <w:t xml:space="preserve"> have succeeded</w:t>
            </w:r>
            <w:r w:rsidR="00A96D92">
              <w:rPr>
                <w:bCs/>
                <w:sz w:val="22"/>
                <w:szCs w:val="22"/>
              </w:rPr>
              <w:t xml:space="preserve"> and </w:t>
            </w:r>
            <w:r w:rsidR="007A1AB3">
              <w:rPr>
                <w:bCs/>
                <w:sz w:val="22"/>
                <w:szCs w:val="22"/>
              </w:rPr>
              <w:t xml:space="preserve">to </w:t>
            </w:r>
            <w:r w:rsidR="00B61467">
              <w:rPr>
                <w:bCs/>
                <w:sz w:val="22"/>
                <w:szCs w:val="22"/>
              </w:rPr>
              <w:t xml:space="preserve">evaluate </w:t>
            </w:r>
            <w:r w:rsidR="00A96D92">
              <w:rPr>
                <w:bCs/>
                <w:sz w:val="22"/>
                <w:szCs w:val="22"/>
              </w:rPr>
              <w:t>whether they</w:t>
            </w:r>
            <w:r w:rsidR="00B61467">
              <w:rPr>
                <w:bCs/>
                <w:sz w:val="22"/>
                <w:szCs w:val="22"/>
              </w:rPr>
              <w:t xml:space="preserve"> could be modified to</w:t>
            </w:r>
            <w:r w:rsidR="00491432">
              <w:rPr>
                <w:bCs/>
                <w:sz w:val="22"/>
                <w:szCs w:val="22"/>
              </w:rPr>
              <w:t xml:space="preserve"> better promote the Commission’s </w:t>
            </w:r>
            <w:r w:rsidR="00A96D92">
              <w:rPr>
                <w:bCs/>
                <w:sz w:val="22"/>
                <w:szCs w:val="22"/>
              </w:rPr>
              <w:t xml:space="preserve">and Congress’s </w:t>
            </w:r>
            <w:r w:rsidR="00491432">
              <w:rPr>
                <w:bCs/>
                <w:sz w:val="22"/>
                <w:szCs w:val="22"/>
              </w:rPr>
              <w:t>goals.</w:t>
            </w:r>
            <w:r w:rsidR="00F07EBF">
              <w:rPr>
                <w:sz w:val="22"/>
                <w:szCs w:val="22"/>
              </w:rPr>
              <w:t xml:space="preserve"> </w:t>
            </w:r>
            <w:r w:rsidRPr="003E1935">
              <w:rPr>
                <w:sz w:val="22"/>
                <w:szCs w:val="22"/>
              </w:rPr>
              <w:t>Specifically</w:t>
            </w:r>
            <w:r w:rsidR="00381CDB">
              <w:rPr>
                <w:sz w:val="22"/>
                <w:szCs w:val="22"/>
              </w:rPr>
              <w:t>,</w:t>
            </w:r>
            <w:r w:rsidRPr="003E19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 w:rsidR="003E1935">
              <w:rPr>
                <w:sz w:val="22"/>
                <w:szCs w:val="22"/>
              </w:rPr>
              <w:t>Notice</w:t>
            </w:r>
            <w:r w:rsidRPr="003E1935">
              <w:rPr>
                <w:sz w:val="22"/>
                <w:szCs w:val="22"/>
              </w:rPr>
              <w:t>:</w:t>
            </w:r>
          </w:p>
          <w:p w:rsidR="00126BEC" w:rsidRPr="003E1935" w:rsidP="00040127" w14:paraId="534A6FAA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26BEC" w:rsidRPr="003E1935" w:rsidP="00126BEC" w14:paraId="69AAB1E9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 w:rsidRPr="003E1935">
              <w:rPr>
                <w:sz w:val="22"/>
                <w:szCs w:val="22"/>
              </w:rPr>
              <w:t xml:space="preserve">Seeks comment on whether to establish a program, or modify existing programs, for partitioning, disaggregation, and </w:t>
            </w:r>
            <w:r w:rsidR="00E430A2">
              <w:rPr>
                <w:sz w:val="22"/>
                <w:szCs w:val="22"/>
              </w:rPr>
              <w:t>spectrum leasing</w:t>
            </w:r>
            <w:r w:rsidRPr="003E1935">
              <w:rPr>
                <w:sz w:val="22"/>
                <w:szCs w:val="22"/>
              </w:rPr>
              <w:t xml:space="preserve"> as a potential means to increase the availability of advanced telecommunications services in rural areas and spectrum access by small carriers. </w:t>
            </w:r>
          </w:p>
          <w:p w:rsidR="00126BEC" w:rsidRPr="003E1935" w:rsidP="00126BEC" w14:paraId="547819BA" w14:textId="32D4EACC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 w:rsidRPr="003E1935">
              <w:rPr>
                <w:sz w:val="22"/>
                <w:szCs w:val="22"/>
              </w:rPr>
              <w:t xml:space="preserve">Asks commenters to address the three considerations delineated in the MOBILE NOW Act: </w:t>
            </w:r>
          </w:p>
          <w:p w:rsidR="003E1935" w:rsidRPr="003E1935" w:rsidP="003E1935" w14:paraId="1E7FC57F" w14:textId="77777777">
            <w:pPr>
              <w:pStyle w:val="ListParagraph"/>
              <w:numPr>
                <w:ilvl w:val="1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 w:rsidRPr="003E1935">
              <w:rPr>
                <w:sz w:val="22"/>
                <w:szCs w:val="22"/>
              </w:rPr>
              <w:t xml:space="preserve">Whether reduced performance requirements applicable to partitioned or disaggregated licenses would promote the availability of advanced telecommunications services in rural areas or spectrum availability for small covered carriers; </w:t>
            </w:r>
          </w:p>
          <w:p w:rsidR="003E1935" w:rsidRPr="003E1935" w:rsidP="003E1935" w14:paraId="26C85335" w14:textId="77777777">
            <w:pPr>
              <w:pStyle w:val="ListParagraph"/>
              <w:numPr>
                <w:ilvl w:val="1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 w:rsidRPr="003E1935">
              <w:rPr>
                <w:sz w:val="22"/>
                <w:szCs w:val="22"/>
              </w:rPr>
              <w:t>What conditions may be needed to eliminate impediments to transfers of spectrum to small carriers to allow them to build out in a reasonable time; and</w:t>
            </w:r>
          </w:p>
          <w:p w:rsidR="003E1935" w:rsidRPr="003E1935" w:rsidP="003E1935" w14:paraId="6E2CE953" w14:textId="77777777">
            <w:pPr>
              <w:pStyle w:val="ListParagraph"/>
              <w:numPr>
                <w:ilvl w:val="1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 w:rsidRPr="003E1935">
              <w:rPr>
                <w:sz w:val="22"/>
                <w:szCs w:val="22"/>
              </w:rPr>
              <w:t xml:space="preserve">What incentives may encourage licensees to lease or sell spectrum to small carriers or unaffiliated carriers that will serve rural areas. </w:t>
            </w:r>
          </w:p>
          <w:p w:rsidR="00352B4A" w:rsidP="00B3265A" w14:paraId="3793F496" w14:textId="4884FF79">
            <w:pPr>
              <w:pStyle w:val="ListParagraph"/>
              <w:numPr>
                <w:ilvl w:val="0"/>
                <w:numId w:val="3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 w:rsidRPr="00B3265A">
              <w:rPr>
                <w:sz w:val="22"/>
                <w:szCs w:val="22"/>
              </w:rPr>
              <w:t>Seeks comment on whether to allow “reaggregation” for spectrum that has been partitioned or disaggregated on the secondary market—up to the size of the original market area</w:t>
            </w:r>
            <w:r w:rsidR="0025115E">
              <w:rPr>
                <w:sz w:val="22"/>
                <w:szCs w:val="22"/>
              </w:rPr>
              <w:t>.</w:t>
            </w:r>
          </w:p>
          <w:p w:rsidR="0025115E" w:rsidP="003A36B6" w14:paraId="467D1B16" w14:textId="0317E38C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A36B6" w:rsidRPr="003A36B6" w:rsidP="003A36B6" w14:paraId="0204CAF8" w14:textId="619DD24F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3A36B6">
              <w:rPr>
                <w:sz w:val="22"/>
                <w:szCs w:val="22"/>
              </w:rPr>
              <w:t>Action by the Commission March 15, 2019 by Notice of Proposed Rulemaking (FCC 19-22).  Chairman Pai, Commissioners O’Rielly, Carr, Rosenworcel, and Starks approving</w:t>
            </w:r>
            <w:r w:rsidR="00235F1B">
              <w:rPr>
                <w:sz w:val="22"/>
                <w:szCs w:val="22"/>
              </w:rPr>
              <w:t xml:space="preserve"> and</w:t>
            </w:r>
            <w:bookmarkStart w:id="0" w:name="_GoBack"/>
            <w:bookmarkEnd w:id="0"/>
            <w:r w:rsidRPr="003A36B6">
              <w:rPr>
                <w:sz w:val="22"/>
                <w:szCs w:val="22"/>
              </w:rPr>
              <w:t xml:space="preserve"> issuing separate statements.</w:t>
            </w:r>
          </w:p>
          <w:p w:rsidR="003A36B6" w:rsidRPr="003A36B6" w:rsidP="003A36B6" w14:paraId="0CEB47E4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A36B6" w:rsidP="003A36B6" w14:paraId="46811813" w14:textId="40EE415D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3A36B6">
              <w:rPr>
                <w:sz w:val="22"/>
                <w:szCs w:val="22"/>
              </w:rPr>
              <w:t>WT Docket No. 19-38</w:t>
            </w:r>
          </w:p>
          <w:p w:rsidR="003A36B6" w:rsidRPr="003A36B6" w:rsidP="003A36B6" w14:paraId="0F4E6C3F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F0F1F" w:rsidRPr="007475A1" w:rsidP="00850E26" w14:paraId="421AEE37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E319803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FA1715F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F8731E4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50B86D96" w14:textId="77777777" w:rsidTr="00B3265A">
        <w:tblPrEx>
          <w:tblW w:w="0" w:type="auto"/>
          <w:tblLook w:val="0000"/>
        </w:tblPrEx>
        <w:trPr>
          <w:trHeight w:val="1792"/>
        </w:trPr>
        <w:tc>
          <w:tcPr>
            <w:tcW w:w="8234" w:type="dxa"/>
          </w:tcPr>
          <w:p w:rsidR="00F46697" w:rsidP="006A7D75" w14:paraId="0F8DDF33" w14:textId="77777777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4D0FD8" w:rsidRPr="004D0FD8" w:rsidP="004D0FD8" w14:paraId="4E50E6F6" w14:textId="77777777">
      <w:pPr>
        <w:rPr>
          <w:sz w:val="2"/>
          <w:szCs w:val="2"/>
        </w:rPr>
      </w:pPr>
    </w:p>
    <w:p w:rsidR="004D0FD8" w:rsidRPr="004D0FD8" w:rsidP="004D0FD8" w14:paraId="10B9528C" w14:textId="77777777">
      <w:pPr>
        <w:rPr>
          <w:sz w:val="2"/>
          <w:szCs w:val="2"/>
        </w:rPr>
      </w:pPr>
    </w:p>
    <w:p w:rsidR="004D0FD8" w:rsidRPr="004D0FD8" w:rsidP="004D0FD8" w14:paraId="30A07CE8" w14:textId="77777777">
      <w:pPr>
        <w:rPr>
          <w:sz w:val="2"/>
          <w:szCs w:val="2"/>
        </w:rPr>
      </w:pPr>
    </w:p>
    <w:p w:rsidR="004D0FD8" w:rsidRPr="004D0FD8" w:rsidP="004D0FD8" w14:paraId="17E4A507" w14:textId="77777777">
      <w:pPr>
        <w:rPr>
          <w:sz w:val="2"/>
          <w:szCs w:val="2"/>
        </w:rPr>
      </w:pPr>
    </w:p>
    <w:p w:rsidR="00D24C3D" w:rsidRPr="004D0FD8" w:rsidP="004D0FD8" w14:paraId="399BC1BA" w14:textId="77777777">
      <w:pPr>
        <w:tabs>
          <w:tab w:val="left" w:pos="3360"/>
        </w:tabs>
        <w:rPr>
          <w:sz w:val="2"/>
          <w:szCs w:val="2"/>
        </w:rPr>
      </w:pPr>
    </w:p>
    <w:sectPr w:rsidSect="003A36B6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F5609D"/>
    <w:multiLevelType w:val="hybridMultilevel"/>
    <w:tmpl w:val="89C00DFA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73C822A9"/>
    <w:multiLevelType w:val="hybridMultilevel"/>
    <w:tmpl w:val="CB680E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15"/>
    <w:rsid w:val="00016F7E"/>
    <w:rsid w:val="0002500C"/>
    <w:rsid w:val="000311FC"/>
    <w:rsid w:val="00040127"/>
    <w:rsid w:val="00065E2D"/>
    <w:rsid w:val="00081232"/>
    <w:rsid w:val="00091E65"/>
    <w:rsid w:val="00096D4A"/>
    <w:rsid w:val="000A38EA"/>
    <w:rsid w:val="000B6832"/>
    <w:rsid w:val="000C1E47"/>
    <w:rsid w:val="000C26F3"/>
    <w:rsid w:val="000C52E8"/>
    <w:rsid w:val="000D16B2"/>
    <w:rsid w:val="000E049E"/>
    <w:rsid w:val="0010799B"/>
    <w:rsid w:val="00117DB2"/>
    <w:rsid w:val="00123ED2"/>
    <w:rsid w:val="00125BE0"/>
    <w:rsid w:val="00126BEC"/>
    <w:rsid w:val="00142C13"/>
    <w:rsid w:val="00152776"/>
    <w:rsid w:val="00153222"/>
    <w:rsid w:val="001577D3"/>
    <w:rsid w:val="00160F91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078C3"/>
    <w:rsid w:val="0021247E"/>
    <w:rsid w:val="002146F6"/>
    <w:rsid w:val="00231C32"/>
    <w:rsid w:val="00235F1B"/>
    <w:rsid w:val="00240345"/>
    <w:rsid w:val="002421F0"/>
    <w:rsid w:val="00247274"/>
    <w:rsid w:val="0025115E"/>
    <w:rsid w:val="00266966"/>
    <w:rsid w:val="00285C36"/>
    <w:rsid w:val="00294C0C"/>
    <w:rsid w:val="002A0934"/>
    <w:rsid w:val="002B1013"/>
    <w:rsid w:val="002D03E5"/>
    <w:rsid w:val="002E3C59"/>
    <w:rsid w:val="002E3F1D"/>
    <w:rsid w:val="002F31D0"/>
    <w:rsid w:val="00300359"/>
    <w:rsid w:val="0031773E"/>
    <w:rsid w:val="00322374"/>
    <w:rsid w:val="00333871"/>
    <w:rsid w:val="00342A94"/>
    <w:rsid w:val="00347716"/>
    <w:rsid w:val="003506E1"/>
    <w:rsid w:val="00352B4A"/>
    <w:rsid w:val="003727E3"/>
    <w:rsid w:val="00381CDB"/>
    <w:rsid w:val="00385A93"/>
    <w:rsid w:val="003910F1"/>
    <w:rsid w:val="003A36B6"/>
    <w:rsid w:val="003E1935"/>
    <w:rsid w:val="003E42FC"/>
    <w:rsid w:val="003E5991"/>
    <w:rsid w:val="003F344A"/>
    <w:rsid w:val="00403FF0"/>
    <w:rsid w:val="00413D98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1432"/>
    <w:rsid w:val="004941A2"/>
    <w:rsid w:val="00497858"/>
    <w:rsid w:val="004A729A"/>
    <w:rsid w:val="004B4FEA"/>
    <w:rsid w:val="004C0ADA"/>
    <w:rsid w:val="004C433E"/>
    <w:rsid w:val="004C4512"/>
    <w:rsid w:val="004C4F36"/>
    <w:rsid w:val="004D0FD8"/>
    <w:rsid w:val="004D3D85"/>
    <w:rsid w:val="004E2BD8"/>
    <w:rsid w:val="004F0F1F"/>
    <w:rsid w:val="005002E2"/>
    <w:rsid w:val="005022AA"/>
    <w:rsid w:val="00503D46"/>
    <w:rsid w:val="00504845"/>
    <w:rsid w:val="0050757F"/>
    <w:rsid w:val="00516AD2"/>
    <w:rsid w:val="00545DAE"/>
    <w:rsid w:val="00571B83"/>
    <w:rsid w:val="00575A00"/>
    <w:rsid w:val="00580ACF"/>
    <w:rsid w:val="005817AE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06242"/>
    <w:rsid w:val="00613498"/>
    <w:rsid w:val="00617B94"/>
    <w:rsid w:val="00620BED"/>
    <w:rsid w:val="006415B4"/>
    <w:rsid w:val="00644E3D"/>
    <w:rsid w:val="00651B9E"/>
    <w:rsid w:val="00652019"/>
    <w:rsid w:val="0065253F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2385"/>
    <w:rsid w:val="007475A1"/>
    <w:rsid w:val="0075235E"/>
    <w:rsid w:val="007528A5"/>
    <w:rsid w:val="007732CC"/>
    <w:rsid w:val="00774079"/>
    <w:rsid w:val="0077752B"/>
    <w:rsid w:val="00782FB5"/>
    <w:rsid w:val="00793D6F"/>
    <w:rsid w:val="00794090"/>
    <w:rsid w:val="007A15E7"/>
    <w:rsid w:val="007A1AB3"/>
    <w:rsid w:val="007A44F8"/>
    <w:rsid w:val="007B5C3C"/>
    <w:rsid w:val="007B6BB4"/>
    <w:rsid w:val="007C169E"/>
    <w:rsid w:val="007D21BF"/>
    <w:rsid w:val="007F3C12"/>
    <w:rsid w:val="007F5205"/>
    <w:rsid w:val="0080486B"/>
    <w:rsid w:val="008215E7"/>
    <w:rsid w:val="00830FC6"/>
    <w:rsid w:val="00840DD7"/>
    <w:rsid w:val="00850E26"/>
    <w:rsid w:val="00865EAA"/>
    <w:rsid w:val="00866F06"/>
    <w:rsid w:val="008728F5"/>
    <w:rsid w:val="008824C2"/>
    <w:rsid w:val="00885354"/>
    <w:rsid w:val="00891480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6A81"/>
    <w:rsid w:val="00931B16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D2787"/>
    <w:rsid w:val="009E3569"/>
    <w:rsid w:val="009E54A1"/>
    <w:rsid w:val="009F4E25"/>
    <w:rsid w:val="009F5B1F"/>
    <w:rsid w:val="00A225A9"/>
    <w:rsid w:val="00A3308E"/>
    <w:rsid w:val="00A35DFD"/>
    <w:rsid w:val="00A568CF"/>
    <w:rsid w:val="00A702DF"/>
    <w:rsid w:val="00A775A3"/>
    <w:rsid w:val="00A81700"/>
    <w:rsid w:val="00A81B5B"/>
    <w:rsid w:val="00A82FAD"/>
    <w:rsid w:val="00A857E2"/>
    <w:rsid w:val="00A94D8B"/>
    <w:rsid w:val="00A9673A"/>
    <w:rsid w:val="00A96D92"/>
    <w:rsid w:val="00A96EF2"/>
    <w:rsid w:val="00A97A59"/>
    <w:rsid w:val="00AA5C35"/>
    <w:rsid w:val="00AA5ED9"/>
    <w:rsid w:val="00AC0A38"/>
    <w:rsid w:val="00AC4E0E"/>
    <w:rsid w:val="00AC517B"/>
    <w:rsid w:val="00AD0D10"/>
    <w:rsid w:val="00AD0D19"/>
    <w:rsid w:val="00AF051B"/>
    <w:rsid w:val="00B037A2"/>
    <w:rsid w:val="00B117F7"/>
    <w:rsid w:val="00B31870"/>
    <w:rsid w:val="00B31B2B"/>
    <w:rsid w:val="00B320B8"/>
    <w:rsid w:val="00B3265A"/>
    <w:rsid w:val="00B35EE2"/>
    <w:rsid w:val="00B36DEF"/>
    <w:rsid w:val="00B45415"/>
    <w:rsid w:val="00B57131"/>
    <w:rsid w:val="00B61467"/>
    <w:rsid w:val="00B62F2C"/>
    <w:rsid w:val="00B727C9"/>
    <w:rsid w:val="00B735C8"/>
    <w:rsid w:val="00B76A63"/>
    <w:rsid w:val="00B8433C"/>
    <w:rsid w:val="00BA6350"/>
    <w:rsid w:val="00BB1201"/>
    <w:rsid w:val="00BB4E29"/>
    <w:rsid w:val="00BB74C9"/>
    <w:rsid w:val="00BC3AB6"/>
    <w:rsid w:val="00BD19E8"/>
    <w:rsid w:val="00BD4273"/>
    <w:rsid w:val="00C048FB"/>
    <w:rsid w:val="00C2012F"/>
    <w:rsid w:val="00C31ED8"/>
    <w:rsid w:val="00C432E4"/>
    <w:rsid w:val="00C5104B"/>
    <w:rsid w:val="00C6346E"/>
    <w:rsid w:val="00C70C26"/>
    <w:rsid w:val="00C72001"/>
    <w:rsid w:val="00C73BF8"/>
    <w:rsid w:val="00C772B7"/>
    <w:rsid w:val="00C80347"/>
    <w:rsid w:val="00CA7415"/>
    <w:rsid w:val="00CB0D78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5E70"/>
    <w:rsid w:val="00DD1750"/>
    <w:rsid w:val="00E30857"/>
    <w:rsid w:val="00E349AA"/>
    <w:rsid w:val="00E4054C"/>
    <w:rsid w:val="00E41390"/>
    <w:rsid w:val="00E41CA0"/>
    <w:rsid w:val="00E430A2"/>
    <w:rsid w:val="00E4366B"/>
    <w:rsid w:val="00E50A4A"/>
    <w:rsid w:val="00E548A7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5603"/>
    <w:rsid w:val="00EE0E90"/>
    <w:rsid w:val="00EF3BCA"/>
    <w:rsid w:val="00EF729B"/>
    <w:rsid w:val="00EF7DB8"/>
    <w:rsid w:val="00F01B0D"/>
    <w:rsid w:val="00F07EBF"/>
    <w:rsid w:val="00F1238F"/>
    <w:rsid w:val="00F16485"/>
    <w:rsid w:val="00F228ED"/>
    <w:rsid w:val="00F26E31"/>
    <w:rsid w:val="00F27C6C"/>
    <w:rsid w:val="00F34A8D"/>
    <w:rsid w:val="00F425CB"/>
    <w:rsid w:val="00F46697"/>
    <w:rsid w:val="00F50D25"/>
    <w:rsid w:val="00F535D8"/>
    <w:rsid w:val="00F61155"/>
    <w:rsid w:val="00F708E3"/>
    <w:rsid w:val="00F76561"/>
    <w:rsid w:val="00F84736"/>
    <w:rsid w:val="00F86D77"/>
    <w:rsid w:val="00F87D0F"/>
    <w:rsid w:val="00FA2C66"/>
    <w:rsid w:val="00FA4E9E"/>
    <w:rsid w:val="00FC4350"/>
    <w:rsid w:val="00FC6C29"/>
    <w:rsid w:val="00FD58E0"/>
    <w:rsid w:val="00FD71AE"/>
    <w:rsid w:val="00FE0198"/>
    <w:rsid w:val="00FE3A7C"/>
    <w:rsid w:val="00FF1994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3254193-8DB5-4DA8-B377-4D24AAFF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26BE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94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4D8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94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4D8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11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117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D16B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16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16B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ecilia.Sulhoff\Desktop\MARCH%2015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