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B5E0B" w14:paraId="58E853A5" w14:textId="77777777">
      <w:pPr>
        <w:tabs>
          <w:tab w:val="center" w:pos="4770"/>
        </w:tabs>
        <w:jc w:val="center"/>
        <w:rPr>
          <w:b/>
          <w:sz w:val="22"/>
          <w:szCs w:val="22"/>
        </w:rPr>
      </w:pPr>
      <w:r>
        <w:rPr>
          <w:b/>
          <w:sz w:val="22"/>
          <w:szCs w:val="22"/>
        </w:rPr>
        <w:t>Before the</w:t>
      </w:r>
    </w:p>
    <w:p w:rsidR="00DB5E0B" w14:paraId="63DDB7DB" w14:textId="77777777">
      <w:pPr>
        <w:pStyle w:val="Heading2"/>
        <w:widowControl/>
      </w:pPr>
      <w:r>
        <w:t>Federal Communications Commission</w:t>
      </w:r>
    </w:p>
    <w:p w:rsidR="00DB5E0B" w14:paraId="4BE3415F" w14:textId="77777777">
      <w:pPr>
        <w:pStyle w:val="Heading2"/>
        <w:widowControl/>
      </w:pPr>
      <w:r>
        <w:t>Washington, D.C. 20554</w:t>
      </w:r>
    </w:p>
    <w:p w:rsidR="00DB5E0B" w14:paraId="684FBA2B" w14:textId="77777777">
      <w:pPr>
        <w:tabs>
          <w:tab w:val="left" w:pos="4680"/>
        </w:tabs>
        <w:jc w:val="center"/>
        <w:rPr>
          <w:sz w:val="22"/>
          <w:szCs w:val="22"/>
        </w:rPr>
      </w:pPr>
    </w:p>
    <w:p w:rsidR="00DB5E0B" w:rsidP="00A0431C" w14:paraId="55A5E999" w14:textId="77777777">
      <w:pPr>
        <w:widowControl w:val="0"/>
        <w:pBdr>
          <w:top w:val="nil"/>
          <w:left w:val="nil"/>
          <w:bottom w:val="nil"/>
          <w:right w:val="nil"/>
          <w:between w:val="nil"/>
        </w:pBdr>
        <w:tabs>
          <w:tab w:val="left" w:pos="4680"/>
        </w:tabs>
        <w:jc w:val="both"/>
        <w:rPr>
          <w:color w:val="000000"/>
          <w:sz w:val="22"/>
          <w:szCs w:val="22"/>
        </w:rPr>
      </w:pPr>
    </w:p>
    <w:p w:rsidR="00DB5E0B" w:rsidP="00A0431C" w14:paraId="58FF7496" w14:textId="77777777">
      <w:pPr>
        <w:widowControl w:val="0"/>
        <w:pBdr>
          <w:top w:val="nil"/>
          <w:left w:val="nil"/>
          <w:bottom w:val="nil"/>
          <w:right w:val="nil"/>
          <w:between w:val="nil"/>
        </w:pBdr>
        <w:tabs>
          <w:tab w:val="left" w:pos="4680"/>
          <w:tab w:val="left" w:pos="5760"/>
        </w:tabs>
        <w:rPr>
          <w:color w:val="000000"/>
          <w:sz w:val="22"/>
          <w:szCs w:val="22"/>
        </w:rPr>
      </w:pPr>
      <w:r>
        <w:rPr>
          <w:color w:val="000000"/>
          <w:sz w:val="22"/>
          <w:szCs w:val="22"/>
        </w:rPr>
        <w:t>In the Matter of</w:t>
      </w:r>
      <w:r>
        <w:rPr>
          <w:color w:val="000000"/>
          <w:sz w:val="22"/>
          <w:szCs w:val="22"/>
        </w:rPr>
        <w:tab/>
        <w:t>)</w:t>
      </w:r>
    </w:p>
    <w:p w:rsidR="00DB5E0B" w14:paraId="5B288ECF" w14:textId="77777777">
      <w:pPr>
        <w:tabs>
          <w:tab w:val="left" w:pos="4680"/>
          <w:tab w:val="left" w:pos="5760"/>
        </w:tabs>
        <w:rPr>
          <w:sz w:val="22"/>
          <w:szCs w:val="22"/>
        </w:rPr>
      </w:pPr>
      <w:r>
        <w:rPr>
          <w:sz w:val="22"/>
          <w:szCs w:val="22"/>
        </w:rPr>
        <w:t xml:space="preserve">Baton Rouge Hispanic Education Family </w:t>
      </w:r>
      <w:r>
        <w:rPr>
          <w:sz w:val="22"/>
          <w:szCs w:val="22"/>
        </w:rPr>
        <w:t>Fundation</w:t>
      </w:r>
      <w:r w:rsidR="00637A21">
        <w:rPr>
          <w:sz w:val="22"/>
          <w:szCs w:val="22"/>
        </w:rPr>
        <w:tab/>
        <w:t>)</w:t>
      </w:r>
    </w:p>
    <w:p w:rsidR="00DB5E0B" w14:paraId="3DFB7FC1" w14:textId="77777777">
      <w:pPr>
        <w:tabs>
          <w:tab w:val="left" w:pos="4680"/>
          <w:tab w:val="left" w:pos="5400"/>
        </w:tabs>
        <w:jc w:val="both"/>
        <w:rPr>
          <w:rFonts w:ascii="Courier New" w:eastAsia="Courier New" w:hAnsi="Courier New" w:cs="Courier New"/>
          <w:b/>
          <w:sz w:val="22"/>
          <w:szCs w:val="22"/>
        </w:rPr>
      </w:pPr>
      <w:r>
        <w:rPr>
          <w:sz w:val="22"/>
          <w:szCs w:val="22"/>
        </w:rPr>
        <w:t>KZLU</w:t>
      </w:r>
      <w:r w:rsidR="00637A21">
        <w:rPr>
          <w:sz w:val="22"/>
          <w:szCs w:val="22"/>
        </w:rPr>
        <w:t>-LP</w:t>
      </w:r>
      <w:r w:rsidR="00637A21">
        <w:rPr>
          <w:sz w:val="22"/>
          <w:szCs w:val="22"/>
        </w:rPr>
        <w:tab/>
        <w:t>)</w:t>
      </w:r>
    </w:p>
    <w:p w:rsidR="00DB5E0B" w14:paraId="7460DFCF" w14:textId="77777777">
      <w:pPr>
        <w:tabs>
          <w:tab w:val="left" w:pos="4680"/>
          <w:tab w:val="left" w:pos="5400"/>
        </w:tabs>
        <w:jc w:val="both"/>
        <w:rPr>
          <w:sz w:val="22"/>
          <w:szCs w:val="22"/>
        </w:rPr>
      </w:pPr>
      <w:r>
        <w:rPr>
          <w:sz w:val="22"/>
          <w:szCs w:val="22"/>
        </w:rPr>
        <w:tab/>
        <w:t>)</w:t>
      </w:r>
      <w:r>
        <w:rPr>
          <w:sz w:val="22"/>
          <w:szCs w:val="22"/>
        </w:rPr>
        <w:tab/>
        <w:t xml:space="preserve">File No. </w:t>
      </w:r>
      <w:r w:rsidRPr="00A0431C" w:rsidR="00A0431C">
        <w:rPr>
          <w:sz w:val="22"/>
          <w:szCs w:val="22"/>
        </w:rPr>
        <w:t>EB-FIELDSCR-19-00028491</w:t>
      </w:r>
    </w:p>
    <w:p w:rsidR="00DB5E0B" w14:paraId="4376FA17" w14:textId="77777777">
      <w:pPr>
        <w:tabs>
          <w:tab w:val="left" w:pos="4680"/>
          <w:tab w:val="left" w:pos="6480"/>
        </w:tabs>
        <w:jc w:val="both"/>
      </w:pPr>
      <w:r>
        <w:rPr>
          <w:sz w:val="22"/>
          <w:szCs w:val="22"/>
        </w:rPr>
        <w:tab/>
        <w:t>)</w:t>
      </w:r>
    </w:p>
    <w:p w:rsidR="00DB5E0B" w14:paraId="466521CA" w14:textId="77777777">
      <w:pPr>
        <w:widowControl w:val="0"/>
        <w:pBdr>
          <w:top w:val="nil"/>
          <w:left w:val="nil"/>
          <w:bottom w:val="nil"/>
          <w:right w:val="nil"/>
          <w:between w:val="nil"/>
        </w:pBdr>
        <w:tabs>
          <w:tab w:val="left" w:pos="4680"/>
          <w:tab w:val="left" w:pos="5760"/>
        </w:tabs>
        <w:jc w:val="both"/>
        <w:rPr>
          <w:color w:val="000000"/>
          <w:sz w:val="22"/>
          <w:szCs w:val="22"/>
        </w:rPr>
      </w:pPr>
      <w:r>
        <w:rPr>
          <w:color w:val="000000"/>
          <w:sz w:val="22"/>
          <w:szCs w:val="22"/>
        </w:rPr>
        <w:tab/>
        <w:t>)</w:t>
      </w:r>
    </w:p>
    <w:p w:rsidR="00DB5E0B" w14:paraId="30CE2FA1" w14:textId="77777777">
      <w:pPr>
        <w:widowControl w:val="0"/>
        <w:pBdr>
          <w:top w:val="nil"/>
          <w:left w:val="nil"/>
          <w:bottom w:val="nil"/>
          <w:right w:val="nil"/>
          <w:between w:val="nil"/>
        </w:pBdr>
        <w:tabs>
          <w:tab w:val="left" w:pos="4680"/>
          <w:tab w:val="left" w:pos="5400"/>
        </w:tabs>
        <w:jc w:val="both"/>
        <w:rPr>
          <w:color w:val="000000"/>
          <w:sz w:val="22"/>
          <w:szCs w:val="22"/>
        </w:rPr>
      </w:pPr>
      <w:r>
        <w:rPr>
          <w:color w:val="000000"/>
          <w:sz w:val="22"/>
          <w:szCs w:val="22"/>
        </w:rPr>
        <w:t>Facility ID:</w:t>
      </w:r>
      <w:r>
        <w:rPr>
          <w:rFonts w:ascii="Arial" w:eastAsia="Arial" w:hAnsi="Arial" w:cs="Arial"/>
          <w:sz w:val="22"/>
          <w:szCs w:val="22"/>
          <w:highlight w:val="white"/>
        </w:rPr>
        <w:t xml:space="preserve"> </w:t>
      </w:r>
      <w:r w:rsidRPr="00A0431C" w:rsidR="00A0431C">
        <w:rPr>
          <w:rFonts w:eastAsia="Arial" w:cs="Arial"/>
          <w:sz w:val="22"/>
          <w:szCs w:val="22"/>
        </w:rPr>
        <w:t>196042</w:t>
      </w:r>
      <w:r>
        <w:rPr>
          <w:color w:val="000000"/>
          <w:sz w:val="22"/>
          <w:szCs w:val="22"/>
        </w:rPr>
        <w:tab/>
        <w:t>)</w:t>
      </w:r>
    </w:p>
    <w:p w:rsidR="00DB5E0B" w14:paraId="710606E1" w14:textId="77777777">
      <w:pPr>
        <w:widowControl w:val="0"/>
        <w:pBdr>
          <w:top w:val="nil"/>
          <w:left w:val="nil"/>
          <w:bottom w:val="nil"/>
          <w:right w:val="nil"/>
          <w:between w:val="nil"/>
        </w:pBdr>
        <w:tabs>
          <w:tab w:val="left" w:pos="4680"/>
          <w:tab w:val="left" w:pos="6120"/>
        </w:tabs>
        <w:jc w:val="both"/>
        <w:rPr>
          <w:color w:val="000000"/>
          <w:sz w:val="22"/>
          <w:szCs w:val="22"/>
        </w:rPr>
      </w:pPr>
      <w:r>
        <w:rPr>
          <w:color w:val="000000"/>
          <w:sz w:val="22"/>
          <w:szCs w:val="22"/>
        </w:rPr>
        <w:tab/>
        <w:t>)</w:t>
      </w:r>
    </w:p>
    <w:p w:rsidR="00DB5E0B" w14:paraId="0F42EC50" w14:textId="77777777">
      <w:pPr>
        <w:widowControl w:val="0"/>
        <w:pBdr>
          <w:top w:val="nil"/>
          <w:left w:val="nil"/>
          <w:bottom w:val="nil"/>
          <w:right w:val="nil"/>
          <w:between w:val="nil"/>
        </w:pBdr>
        <w:tabs>
          <w:tab w:val="left" w:pos="4680"/>
          <w:tab w:val="left" w:pos="5760"/>
        </w:tabs>
        <w:jc w:val="both"/>
        <w:rPr>
          <w:color w:val="000000"/>
          <w:sz w:val="22"/>
          <w:szCs w:val="22"/>
        </w:rPr>
      </w:pPr>
      <w:r>
        <w:rPr>
          <w:sz w:val="22"/>
          <w:szCs w:val="22"/>
        </w:rPr>
        <w:t>Baton Rouge, Louisiana</w:t>
      </w:r>
      <w:r w:rsidR="00637A21">
        <w:rPr>
          <w:color w:val="FF0000"/>
          <w:sz w:val="22"/>
          <w:szCs w:val="22"/>
        </w:rPr>
        <w:tab/>
      </w:r>
      <w:r w:rsidR="00637A21">
        <w:rPr>
          <w:color w:val="000000"/>
          <w:sz w:val="22"/>
          <w:szCs w:val="22"/>
        </w:rPr>
        <w:t>)</w:t>
      </w:r>
    </w:p>
    <w:p w:rsidR="00DB5E0B" w14:paraId="1570753C" w14:textId="77777777">
      <w:pPr>
        <w:tabs>
          <w:tab w:val="center" w:pos="4680"/>
          <w:tab w:val="left" w:pos="5760"/>
        </w:tabs>
        <w:jc w:val="both"/>
        <w:rPr>
          <w:sz w:val="22"/>
          <w:szCs w:val="22"/>
        </w:rPr>
      </w:pPr>
    </w:p>
    <w:p w:rsidR="00DB5E0B" w14:paraId="164E2CCE" w14:textId="77777777">
      <w:pPr>
        <w:tabs>
          <w:tab w:val="center" w:pos="4680"/>
          <w:tab w:val="left" w:pos="5760"/>
        </w:tabs>
        <w:jc w:val="both"/>
        <w:rPr>
          <w:sz w:val="22"/>
          <w:szCs w:val="22"/>
        </w:rPr>
      </w:pPr>
    </w:p>
    <w:p w:rsidR="00DB5E0B" w14:paraId="5019A28B" w14:textId="77777777">
      <w:pPr>
        <w:pStyle w:val="Title"/>
        <w:tabs>
          <w:tab w:val="left" w:pos="5760"/>
        </w:tabs>
        <w:rPr>
          <w:sz w:val="22"/>
          <w:szCs w:val="22"/>
        </w:rPr>
      </w:pPr>
      <w:r>
        <w:rPr>
          <w:sz w:val="22"/>
          <w:szCs w:val="22"/>
        </w:rPr>
        <w:t>NOTICE OF VIOLATION</w:t>
      </w:r>
    </w:p>
    <w:p w:rsidR="00DB5E0B" w14:paraId="027D81D2" w14:textId="77777777">
      <w:pPr>
        <w:tabs>
          <w:tab w:val="left" w:pos="6480"/>
        </w:tabs>
        <w:rPr>
          <w:b/>
          <w:sz w:val="22"/>
          <w:szCs w:val="22"/>
        </w:rPr>
      </w:pPr>
    </w:p>
    <w:p w:rsidR="00DB5E0B" w14:paraId="23EA082B" w14:textId="77777777">
      <w:pPr>
        <w:pStyle w:val="Subtitle"/>
        <w:jc w:val="left"/>
      </w:pPr>
      <w:r>
        <w:tab/>
      </w:r>
    </w:p>
    <w:p w:rsidR="00DB5E0B" w14:paraId="644819E9" w14:textId="759B7E5F">
      <w:pPr>
        <w:pStyle w:val="Subtitle"/>
        <w:tabs>
          <w:tab w:val="left" w:pos="6300"/>
        </w:tabs>
        <w:jc w:val="left"/>
      </w:pPr>
      <w:r>
        <w:tab/>
        <w:t xml:space="preserve">Released:  </w:t>
      </w:r>
      <w:r w:rsidR="00161F5A">
        <w:t>April 3</w:t>
      </w:r>
      <w:r w:rsidR="00A0431C">
        <w:t>, 2019</w:t>
      </w:r>
    </w:p>
    <w:p w:rsidR="00DB5E0B" w14:paraId="3D16EAA5" w14:textId="77777777">
      <w:pPr>
        <w:tabs>
          <w:tab w:val="left" w:pos="5760"/>
        </w:tabs>
        <w:rPr>
          <w:sz w:val="22"/>
          <w:szCs w:val="22"/>
        </w:rPr>
      </w:pPr>
    </w:p>
    <w:p w:rsidR="00DB5E0B" w14:paraId="33347E1B" w14:textId="77777777">
      <w:pPr>
        <w:rPr>
          <w:sz w:val="22"/>
          <w:szCs w:val="22"/>
        </w:rPr>
      </w:pPr>
      <w:r>
        <w:rPr>
          <w:sz w:val="22"/>
          <w:szCs w:val="22"/>
        </w:rPr>
        <w:t>By the Regional Director, Region Two, Enforcement Bureau:</w:t>
      </w:r>
    </w:p>
    <w:p w:rsidR="00DB5E0B" w14:paraId="7FD69431" w14:textId="77777777">
      <w:pPr>
        <w:widowControl w:val="0"/>
        <w:pBdr>
          <w:top w:val="nil"/>
          <w:left w:val="nil"/>
          <w:bottom w:val="nil"/>
          <w:right w:val="nil"/>
          <w:between w:val="nil"/>
        </w:pBdr>
        <w:rPr>
          <w:color w:val="000000"/>
          <w:sz w:val="22"/>
          <w:szCs w:val="22"/>
        </w:rPr>
      </w:pPr>
    </w:p>
    <w:p w:rsidR="00DB5E0B" w14:paraId="66001974" w14:textId="77777777">
      <w:pPr>
        <w:widowControl w:val="0"/>
        <w:pBdr>
          <w:top w:val="nil"/>
          <w:left w:val="nil"/>
          <w:bottom w:val="nil"/>
          <w:right w:val="nil"/>
          <w:between w:val="nil"/>
        </w:pBdr>
        <w:rPr>
          <w:color w:val="000000"/>
          <w:sz w:val="22"/>
          <w:szCs w:val="22"/>
        </w:rPr>
      </w:pPr>
    </w:p>
    <w:p w:rsidR="00DB5E0B" w14:paraId="2CDD6882" w14:textId="77777777">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This is a Notice of Violation (Notice) issued pursuant to Section 1.89 of the Commission’s rules (Rules),</w:t>
      </w:r>
      <w:r>
        <w:rPr>
          <w:color w:val="000000"/>
          <w:sz w:val="22"/>
          <w:szCs w:val="22"/>
          <w:vertAlign w:val="superscript"/>
        </w:rPr>
        <w:footnoteReference w:id="2"/>
      </w:r>
      <w:r>
        <w:rPr>
          <w:color w:val="000000"/>
          <w:sz w:val="22"/>
          <w:szCs w:val="22"/>
        </w:rPr>
        <w:t xml:space="preserve"> to </w:t>
      </w:r>
      <w:r w:rsidR="00A0431C">
        <w:rPr>
          <w:sz w:val="22"/>
          <w:szCs w:val="22"/>
        </w:rPr>
        <w:t xml:space="preserve">Baton Rouge Hispanic Education Family </w:t>
      </w:r>
      <w:r w:rsidR="00A0431C">
        <w:rPr>
          <w:sz w:val="22"/>
          <w:szCs w:val="22"/>
        </w:rPr>
        <w:t>Fundation</w:t>
      </w:r>
      <w:r>
        <w:rPr>
          <w:color w:val="000000"/>
          <w:sz w:val="22"/>
          <w:szCs w:val="22"/>
        </w:rPr>
        <w:t xml:space="preserve">, </w:t>
      </w:r>
      <w:r w:rsidR="00A0431C">
        <w:rPr>
          <w:color w:val="000000"/>
          <w:sz w:val="22"/>
          <w:szCs w:val="22"/>
        </w:rPr>
        <w:t>permittee</w:t>
      </w:r>
      <w:r>
        <w:rPr>
          <w:color w:val="000000"/>
          <w:sz w:val="22"/>
          <w:szCs w:val="22"/>
        </w:rPr>
        <w:t xml:space="preserve"> of Low Power FM (LPFM) station </w:t>
      </w:r>
      <w:r w:rsidR="00A0431C">
        <w:rPr>
          <w:color w:val="000000"/>
          <w:sz w:val="22"/>
          <w:szCs w:val="22"/>
        </w:rPr>
        <w:t>KZLU-LP</w:t>
      </w:r>
      <w:r>
        <w:rPr>
          <w:color w:val="000000"/>
          <w:sz w:val="22"/>
          <w:szCs w:val="22"/>
        </w:rPr>
        <w:t xml:space="preserve"> in </w:t>
      </w:r>
      <w:r w:rsidR="00A0431C">
        <w:rPr>
          <w:sz w:val="22"/>
          <w:szCs w:val="22"/>
        </w:rPr>
        <w:t>Baton Rouge</w:t>
      </w:r>
      <w:r>
        <w:rPr>
          <w:color w:val="000000"/>
          <w:sz w:val="22"/>
          <w:szCs w:val="22"/>
        </w:rPr>
        <w:t xml:space="preserve">, </w:t>
      </w:r>
      <w:r w:rsidR="00A0431C">
        <w:rPr>
          <w:sz w:val="22"/>
          <w:szCs w:val="22"/>
        </w:rPr>
        <w:t>Louisiana</w:t>
      </w:r>
      <w:r>
        <w:rPr>
          <w:color w:val="000000"/>
          <w:sz w:val="22"/>
          <w:szCs w:val="22"/>
        </w:rPr>
        <w:t>.  Pursuant to Section 1.89(a) of the Rules, issuance of this Notice does not preclude the Enforcement Bureau from further action if warranted, including issuing a Notice of Apparent Liability for Forfeiture for the violation(s) noted herein.</w:t>
      </w:r>
      <w:r>
        <w:rPr>
          <w:color w:val="000000"/>
          <w:vertAlign w:val="superscript"/>
        </w:rPr>
        <w:footnoteReference w:id="3"/>
      </w:r>
    </w:p>
    <w:p w:rsidR="00DB5E0B" w14:paraId="44FF163F" w14:textId="77777777">
      <w:pPr>
        <w:rPr>
          <w:color w:val="000000"/>
          <w:sz w:val="22"/>
          <w:szCs w:val="22"/>
        </w:rPr>
      </w:pPr>
    </w:p>
    <w:p w:rsidR="00DB5E0B" w14:paraId="0905529F" w14:textId="77777777">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 xml:space="preserve">On </w:t>
      </w:r>
      <w:r w:rsidR="00B73903">
        <w:rPr>
          <w:sz w:val="22"/>
          <w:szCs w:val="22"/>
        </w:rPr>
        <w:t>February 6</w:t>
      </w:r>
      <w:r w:rsidR="00B73903">
        <w:rPr>
          <w:color w:val="000000"/>
          <w:sz w:val="22"/>
          <w:szCs w:val="22"/>
        </w:rPr>
        <w:t>, 2019</w:t>
      </w:r>
      <w:r>
        <w:rPr>
          <w:color w:val="000000"/>
          <w:sz w:val="22"/>
          <w:szCs w:val="22"/>
        </w:rPr>
        <w:t xml:space="preserve">, based on a complaint, </w:t>
      </w:r>
      <w:r w:rsidR="00B73903">
        <w:rPr>
          <w:color w:val="000000"/>
          <w:sz w:val="22"/>
          <w:szCs w:val="22"/>
        </w:rPr>
        <w:t>an agent</w:t>
      </w:r>
      <w:r>
        <w:rPr>
          <w:color w:val="000000"/>
          <w:sz w:val="22"/>
          <w:szCs w:val="22"/>
        </w:rPr>
        <w:t xml:space="preserve"> of the Enforcement Bureau’s </w:t>
      </w:r>
      <w:r w:rsidR="00B73903">
        <w:rPr>
          <w:sz w:val="22"/>
          <w:szCs w:val="22"/>
        </w:rPr>
        <w:t>New Orleans</w:t>
      </w:r>
      <w:r>
        <w:rPr>
          <w:color w:val="000000"/>
          <w:sz w:val="22"/>
          <w:szCs w:val="22"/>
        </w:rPr>
        <w:t xml:space="preserve"> Office investigated an</w:t>
      </w:r>
      <w:r w:rsidR="00E035BF">
        <w:rPr>
          <w:color w:val="000000"/>
          <w:sz w:val="22"/>
          <w:szCs w:val="22"/>
        </w:rPr>
        <w:t>d found the following violation</w:t>
      </w:r>
      <w:r>
        <w:rPr>
          <w:color w:val="000000"/>
          <w:sz w:val="22"/>
          <w:szCs w:val="22"/>
        </w:rPr>
        <w:t>:</w:t>
      </w:r>
    </w:p>
    <w:p w:rsidR="00DB5E0B" w14:paraId="2C3F482C" w14:textId="77777777">
      <w:pPr>
        <w:ind w:left="720" w:right="720" w:firstLine="720"/>
        <w:rPr>
          <w:sz w:val="22"/>
          <w:szCs w:val="22"/>
        </w:rPr>
      </w:pPr>
    </w:p>
    <w:p w:rsidR="00DB5E0B" w14:paraId="12C0927C" w14:textId="75A9292F">
      <w:pPr>
        <w:numPr>
          <w:ilvl w:val="0"/>
          <w:numId w:val="2"/>
        </w:numPr>
        <w:tabs>
          <w:tab w:val="left" w:pos="1800"/>
        </w:tabs>
        <w:ind w:left="1800" w:right="720" w:hanging="540"/>
        <w:rPr>
          <w:sz w:val="22"/>
          <w:szCs w:val="22"/>
        </w:rPr>
      </w:pPr>
      <w:bookmarkStart w:id="0" w:name="_gjdgxs" w:colFirst="0" w:colLast="0"/>
      <w:bookmarkEnd w:id="0"/>
      <w:r>
        <w:rPr>
          <w:sz w:val="22"/>
          <w:szCs w:val="22"/>
        </w:rPr>
        <w:t>47 C.F.R. § 73.1610(a)</w:t>
      </w:r>
      <w:r w:rsidR="00637A21">
        <w:rPr>
          <w:sz w:val="22"/>
          <w:szCs w:val="22"/>
        </w:rPr>
        <w:t>: “</w:t>
      </w:r>
      <w:r w:rsidRPr="001B43CD">
        <w:rPr>
          <w:sz w:val="22"/>
          <w:szCs w:val="22"/>
        </w:rPr>
        <w:t xml:space="preserve">During the process of construction of a new broadcast station, the permittee, after notifying the FCC in Washington, D.C. may, without further authority from the FCC, conduct equipment tests for the purpose of making such adjustments and measurements as may be necessary to assure compliance with the terms of the construction permit, the technical provisions </w:t>
      </w:r>
      <w:r w:rsidR="00E035BF">
        <w:rPr>
          <w:sz w:val="22"/>
          <w:szCs w:val="22"/>
        </w:rPr>
        <w:t>…”</w:t>
      </w:r>
      <w:r>
        <w:rPr>
          <w:sz w:val="22"/>
          <w:szCs w:val="22"/>
        </w:rPr>
        <w:t xml:space="preserve"> </w:t>
      </w:r>
      <w:r w:rsidR="00E035BF">
        <w:rPr>
          <w:sz w:val="22"/>
          <w:szCs w:val="22"/>
        </w:rPr>
        <w:t xml:space="preserve">In accordance with Construction Permit File No. </w:t>
      </w:r>
      <w:r w:rsidRPr="00110A0E" w:rsidR="00110A0E">
        <w:rPr>
          <w:sz w:val="22"/>
          <w:szCs w:val="22"/>
        </w:rPr>
        <w:t>BNPL-20131114AQC</w:t>
      </w:r>
      <w:r w:rsidR="00110A0E">
        <w:rPr>
          <w:sz w:val="22"/>
          <w:szCs w:val="22"/>
        </w:rPr>
        <w:t>,</w:t>
      </w:r>
      <w:r w:rsidRPr="00110A0E" w:rsidR="00110A0E">
        <w:rPr>
          <w:sz w:val="22"/>
          <w:szCs w:val="22"/>
        </w:rPr>
        <w:t xml:space="preserve"> </w:t>
      </w:r>
      <w:r w:rsidR="00E035BF">
        <w:rPr>
          <w:sz w:val="22"/>
          <w:szCs w:val="22"/>
        </w:rPr>
        <w:t>S</w:t>
      </w:r>
      <w:r w:rsidR="00637A21">
        <w:rPr>
          <w:sz w:val="22"/>
          <w:szCs w:val="22"/>
        </w:rPr>
        <w:t xml:space="preserve">tation </w:t>
      </w:r>
      <w:r w:rsidR="00A0431C">
        <w:rPr>
          <w:sz w:val="22"/>
          <w:szCs w:val="22"/>
        </w:rPr>
        <w:t>KZLU-LP</w:t>
      </w:r>
      <w:r w:rsidR="00E035BF">
        <w:rPr>
          <w:sz w:val="22"/>
          <w:szCs w:val="22"/>
        </w:rPr>
        <w:t xml:space="preserve"> </w:t>
      </w:r>
      <w:r>
        <w:rPr>
          <w:sz w:val="22"/>
          <w:szCs w:val="22"/>
        </w:rPr>
        <w:t>ha</w:t>
      </w:r>
      <w:r w:rsidR="001C13DF">
        <w:rPr>
          <w:sz w:val="22"/>
          <w:szCs w:val="22"/>
        </w:rPr>
        <w:t>s</w:t>
      </w:r>
      <w:r w:rsidR="00D36BA8">
        <w:rPr>
          <w:sz w:val="22"/>
          <w:szCs w:val="22"/>
        </w:rPr>
        <w:t xml:space="preserve"> </w:t>
      </w:r>
      <w:r>
        <w:rPr>
          <w:sz w:val="22"/>
          <w:szCs w:val="22"/>
        </w:rPr>
        <w:t xml:space="preserve">authority </w:t>
      </w:r>
      <w:r w:rsidR="00637A21">
        <w:rPr>
          <w:sz w:val="22"/>
          <w:szCs w:val="22"/>
        </w:rPr>
        <w:t>to</w:t>
      </w:r>
      <w:r>
        <w:rPr>
          <w:sz w:val="22"/>
          <w:szCs w:val="22"/>
        </w:rPr>
        <w:t xml:space="preserve"> conduct equipment tests</w:t>
      </w:r>
      <w:r w:rsidR="00637A21">
        <w:rPr>
          <w:sz w:val="22"/>
          <w:szCs w:val="22"/>
        </w:rPr>
        <w:t xml:space="preserve"> from</w:t>
      </w:r>
      <w:r w:rsidR="00D36BA8">
        <w:rPr>
          <w:sz w:val="22"/>
          <w:szCs w:val="22"/>
        </w:rPr>
        <w:t xml:space="preserve"> </w:t>
      </w:r>
      <w:r>
        <w:rPr>
          <w:sz w:val="22"/>
          <w:szCs w:val="22"/>
        </w:rPr>
        <w:t>30-25-39 N, 91-04-44</w:t>
      </w:r>
      <w:r w:rsidRPr="00D36BA8">
        <w:rPr>
          <w:sz w:val="22"/>
          <w:szCs w:val="22"/>
        </w:rPr>
        <w:t xml:space="preserve"> W</w:t>
      </w:r>
      <w:r w:rsidR="00E035BF">
        <w:rPr>
          <w:sz w:val="22"/>
          <w:szCs w:val="22"/>
        </w:rPr>
        <w:t xml:space="preserve"> after notifying the FCC</w:t>
      </w:r>
      <w:r w:rsidR="00D36BA8">
        <w:rPr>
          <w:sz w:val="22"/>
          <w:szCs w:val="22"/>
        </w:rPr>
        <w:t xml:space="preserve">. On </w:t>
      </w:r>
      <w:r>
        <w:rPr>
          <w:sz w:val="22"/>
          <w:szCs w:val="22"/>
        </w:rPr>
        <w:t>February 6</w:t>
      </w:r>
      <w:r w:rsidR="00D36BA8">
        <w:rPr>
          <w:sz w:val="22"/>
          <w:szCs w:val="22"/>
        </w:rPr>
        <w:t>,</w:t>
      </w:r>
      <w:r w:rsidR="00637A21">
        <w:rPr>
          <w:sz w:val="22"/>
          <w:szCs w:val="22"/>
        </w:rPr>
        <w:t xml:space="preserve"> </w:t>
      </w:r>
      <w:r>
        <w:rPr>
          <w:sz w:val="22"/>
          <w:szCs w:val="22"/>
        </w:rPr>
        <w:t xml:space="preserve">an </w:t>
      </w:r>
      <w:r w:rsidR="00637A21">
        <w:rPr>
          <w:sz w:val="22"/>
          <w:szCs w:val="22"/>
        </w:rPr>
        <w:t>agent</w:t>
      </w:r>
      <w:r w:rsidR="00E035BF">
        <w:rPr>
          <w:sz w:val="22"/>
          <w:szCs w:val="22"/>
        </w:rPr>
        <w:t xml:space="preserve"> observed </w:t>
      </w:r>
      <w:r w:rsidR="00637A21">
        <w:rPr>
          <w:sz w:val="22"/>
          <w:szCs w:val="22"/>
        </w:rPr>
        <w:t>Stat</w:t>
      </w:r>
      <w:r w:rsidR="00D36BA8">
        <w:rPr>
          <w:sz w:val="22"/>
          <w:szCs w:val="22"/>
        </w:rPr>
        <w:t xml:space="preserve">ion </w:t>
      </w:r>
      <w:r w:rsidR="00A0431C">
        <w:rPr>
          <w:sz w:val="22"/>
          <w:szCs w:val="22"/>
        </w:rPr>
        <w:t>KZLU-LP</w:t>
      </w:r>
      <w:r w:rsidR="00D36BA8">
        <w:rPr>
          <w:sz w:val="22"/>
          <w:szCs w:val="22"/>
        </w:rPr>
        <w:t xml:space="preserve"> was transmitting f</w:t>
      </w:r>
      <w:r w:rsidR="00637A21">
        <w:rPr>
          <w:sz w:val="22"/>
          <w:szCs w:val="22"/>
        </w:rPr>
        <w:t>r</w:t>
      </w:r>
      <w:r w:rsidR="00D36BA8">
        <w:rPr>
          <w:sz w:val="22"/>
          <w:szCs w:val="22"/>
        </w:rPr>
        <w:t>om</w:t>
      </w:r>
      <w:r w:rsidR="00637A21">
        <w:rPr>
          <w:sz w:val="22"/>
          <w:szCs w:val="22"/>
        </w:rPr>
        <w:t xml:space="preserve"> coordinates</w:t>
      </w:r>
      <w:r w:rsidR="00D36BA8">
        <w:rPr>
          <w:sz w:val="22"/>
          <w:szCs w:val="22"/>
        </w:rPr>
        <w:t xml:space="preserve"> </w:t>
      </w:r>
      <w:r>
        <w:rPr>
          <w:sz w:val="22"/>
          <w:szCs w:val="22"/>
        </w:rPr>
        <w:t>30</w:t>
      </w:r>
      <w:r w:rsidR="00E035BF">
        <w:rPr>
          <w:sz w:val="22"/>
          <w:szCs w:val="22"/>
        </w:rPr>
        <w:t>-27-</w:t>
      </w:r>
      <w:r w:rsidR="00E035BF">
        <w:rPr>
          <w:sz w:val="22"/>
          <w:szCs w:val="22"/>
        </w:rPr>
        <w:t>00</w:t>
      </w:r>
      <w:r>
        <w:rPr>
          <w:sz w:val="22"/>
          <w:szCs w:val="22"/>
        </w:rPr>
        <w:t xml:space="preserve"> N, 91</w:t>
      </w:r>
      <w:r w:rsidR="00E035BF">
        <w:rPr>
          <w:sz w:val="22"/>
          <w:szCs w:val="22"/>
        </w:rPr>
        <w:t>-07-5</w:t>
      </w:r>
      <w:r>
        <w:rPr>
          <w:sz w:val="22"/>
          <w:szCs w:val="22"/>
        </w:rPr>
        <w:t>4</w:t>
      </w:r>
      <w:r w:rsidRPr="00D36BA8" w:rsidR="00D36BA8">
        <w:rPr>
          <w:sz w:val="22"/>
          <w:szCs w:val="22"/>
        </w:rPr>
        <w:t xml:space="preserve"> W</w:t>
      </w:r>
      <w:r w:rsidR="00D36BA8">
        <w:rPr>
          <w:sz w:val="22"/>
          <w:szCs w:val="22"/>
        </w:rPr>
        <w:t xml:space="preserve">, approximately </w:t>
      </w:r>
      <w:r w:rsidR="00E035BF">
        <w:rPr>
          <w:sz w:val="22"/>
          <w:szCs w:val="22"/>
        </w:rPr>
        <w:t>3.5</w:t>
      </w:r>
      <w:r w:rsidR="00637A21">
        <w:rPr>
          <w:sz w:val="22"/>
          <w:szCs w:val="22"/>
        </w:rPr>
        <w:t xml:space="preserve"> miles from its authorized location.</w:t>
      </w:r>
      <w:r w:rsidR="00637A21">
        <w:rPr>
          <w:sz w:val="22"/>
          <w:szCs w:val="22"/>
        </w:rPr>
        <w:br/>
      </w:r>
    </w:p>
    <w:p w:rsidR="00DB5E0B" w14:paraId="00C05201" w14:textId="77777777">
      <w:pPr>
        <w:ind w:left="1620" w:right="720" w:hanging="540"/>
        <w:rPr>
          <w:sz w:val="22"/>
          <w:szCs w:val="22"/>
        </w:rPr>
      </w:pPr>
    </w:p>
    <w:p w:rsidR="00DB5E0B" w14:paraId="6D169141" w14:textId="77777777">
      <w:pPr>
        <w:rPr>
          <w:sz w:val="22"/>
          <w:szCs w:val="22"/>
        </w:rPr>
      </w:pPr>
    </w:p>
    <w:p w:rsidR="00DB5E0B" w14:paraId="15CF60DB" w14:textId="77777777">
      <w:pPr>
        <w:numPr>
          <w:ilvl w:val="0"/>
          <w:numId w:val="1"/>
        </w:numPr>
        <w:ind w:left="0" w:firstLine="720"/>
        <w:rPr>
          <w:color w:val="000000"/>
          <w:sz w:val="22"/>
          <w:szCs w:val="22"/>
        </w:rPr>
      </w:pPr>
      <w:r>
        <w:rPr>
          <w:sz w:val="22"/>
          <w:szCs w:val="22"/>
        </w:rPr>
        <w:t>Pursuant to Section 308(b) of the Communications Act of 1934, as amended,</w:t>
      </w:r>
      <w:r>
        <w:rPr>
          <w:sz w:val="22"/>
          <w:szCs w:val="22"/>
          <w:vertAlign w:val="superscript"/>
        </w:rPr>
        <w:footnoteReference w:id="4"/>
      </w:r>
      <w:r>
        <w:rPr>
          <w:sz w:val="22"/>
          <w:szCs w:val="22"/>
        </w:rPr>
        <w:t xml:space="preserve"> and Section 1.89 of the Rules, we seek additional information concerning the violations and any remedial actions taken.  Therefore, </w:t>
      </w:r>
      <w:r w:rsidR="00A0431C">
        <w:rPr>
          <w:sz w:val="22"/>
          <w:szCs w:val="22"/>
        </w:rPr>
        <w:t xml:space="preserve">Baton Rouge Hispanic Education Family </w:t>
      </w:r>
      <w:r w:rsidR="00A0431C">
        <w:rPr>
          <w:sz w:val="22"/>
          <w:szCs w:val="22"/>
        </w:rPr>
        <w:t>Fundation</w:t>
      </w:r>
      <w:r>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timeline for completion of any pending corrective action(s).  The response must be complete in itself</w:t>
      </w:r>
      <w:r>
        <w:rPr>
          <w:color w:val="800080"/>
          <w:sz w:val="22"/>
          <w:szCs w:val="22"/>
        </w:rPr>
        <w:t xml:space="preserve"> </w:t>
      </w:r>
      <w:r>
        <w:rPr>
          <w:sz w:val="22"/>
          <w:szCs w:val="22"/>
        </w:rPr>
        <w:t>and must not be abbreviated by reference to other communications or answers to other notices.</w:t>
      </w:r>
      <w:r>
        <w:rPr>
          <w:sz w:val="22"/>
          <w:szCs w:val="22"/>
          <w:vertAlign w:val="superscript"/>
        </w:rPr>
        <w:footnoteReference w:id="5"/>
      </w:r>
      <w:r>
        <w:rPr>
          <w:sz w:val="22"/>
          <w:szCs w:val="22"/>
        </w:rPr>
        <w:t xml:space="preserve">  </w:t>
      </w:r>
    </w:p>
    <w:p w:rsidR="00DB5E0B" w14:paraId="4FC36256" w14:textId="77777777">
      <w:pPr>
        <w:widowControl w:val="0"/>
        <w:pBdr>
          <w:top w:val="nil"/>
          <w:left w:val="nil"/>
          <w:bottom w:val="nil"/>
          <w:right w:val="nil"/>
          <w:between w:val="nil"/>
        </w:pBdr>
        <w:rPr>
          <w:color w:val="000000"/>
          <w:sz w:val="22"/>
          <w:szCs w:val="22"/>
        </w:rPr>
      </w:pPr>
    </w:p>
    <w:p w:rsidR="00DB5E0B" w14:paraId="15A0609A" w14:textId="77777777">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 xml:space="preserve">In accordance with Section 1.16 of the Rules, we direct </w:t>
      </w:r>
      <w:r w:rsidR="00A0431C">
        <w:rPr>
          <w:sz w:val="22"/>
          <w:szCs w:val="22"/>
        </w:rPr>
        <w:t xml:space="preserve">Baton Rouge Hispanic Education Family </w:t>
      </w:r>
      <w:r w:rsidR="00A0431C">
        <w:rPr>
          <w:sz w:val="22"/>
          <w:szCs w:val="22"/>
        </w:rPr>
        <w:t>Fundation</w:t>
      </w:r>
      <w:r>
        <w:rPr>
          <w:sz w:val="22"/>
          <w:szCs w:val="22"/>
        </w:rPr>
        <w:t xml:space="preserve"> </w:t>
      </w:r>
      <w:r>
        <w:rPr>
          <w:color w:val="000000"/>
          <w:sz w:val="22"/>
          <w:szCs w:val="22"/>
        </w:rPr>
        <w:t xml:space="preserve">to support its response to this Notice with an affidavit or declaration under penalty of perjury, signed and dated by an authorized officer of </w:t>
      </w:r>
      <w:r w:rsidR="00A0431C">
        <w:rPr>
          <w:sz w:val="22"/>
          <w:szCs w:val="22"/>
        </w:rPr>
        <w:t xml:space="preserve">Baton Rouge Hispanic Education Family </w:t>
      </w:r>
      <w:r w:rsidR="00A0431C">
        <w:rPr>
          <w:sz w:val="22"/>
          <w:szCs w:val="22"/>
        </w:rPr>
        <w:t>Fundation</w:t>
      </w:r>
      <w:r>
        <w:rPr>
          <w:sz w:val="22"/>
          <w:szCs w:val="22"/>
        </w:rPr>
        <w:t xml:space="preserve"> </w:t>
      </w:r>
      <w:r>
        <w:rPr>
          <w:color w:val="000000"/>
          <w:sz w:val="22"/>
          <w:szCs w:val="22"/>
        </w:rPr>
        <w:t xml:space="preserve">with personal knowledge of the representations provided in </w:t>
      </w:r>
      <w:r w:rsidR="00A0431C">
        <w:rPr>
          <w:color w:val="000000"/>
          <w:sz w:val="22"/>
          <w:szCs w:val="22"/>
        </w:rPr>
        <w:t xml:space="preserve">Baton Rouge Hispanic Education Family </w:t>
      </w:r>
      <w:r w:rsidR="00A0431C">
        <w:rPr>
          <w:color w:val="000000"/>
          <w:sz w:val="22"/>
          <w:szCs w:val="22"/>
        </w:rPr>
        <w:t>Fundation</w:t>
      </w:r>
      <w:r>
        <w:rPr>
          <w:color w:val="000000"/>
          <w:sz w:val="22"/>
          <w:szCs w:val="22"/>
        </w:rPr>
        <w:t>’ response, verifying the truth and accuracy of the information therein,</w:t>
      </w:r>
      <w:r>
        <w:rPr>
          <w:color w:val="000000"/>
          <w:vertAlign w:val="superscript"/>
        </w:rPr>
        <w:footnoteReference w:id="6"/>
      </w:r>
      <w:r>
        <w:rPr>
          <w:color w:val="000000"/>
          <w:sz w:val="22"/>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Pr>
          <w:color w:val="000000"/>
          <w:sz w:val="22"/>
          <w:szCs w:val="22"/>
          <w:vertAlign w:val="superscript"/>
        </w:rPr>
        <w:footnoteReference w:id="7"/>
      </w:r>
      <w:r>
        <w:rPr>
          <w:color w:val="000000"/>
          <w:sz w:val="22"/>
          <w:szCs w:val="22"/>
        </w:rPr>
        <w:t xml:space="preserve"> </w:t>
      </w:r>
      <w:r>
        <w:rPr>
          <w:color w:val="800080"/>
          <w:sz w:val="22"/>
          <w:szCs w:val="22"/>
        </w:rPr>
        <w:t xml:space="preserve"> </w:t>
      </w:r>
    </w:p>
    <w:p w:rsidR="00DB5E0B" w14:paraId="44A6A1E0" w14:textId="77777777">
      <w:pPr>
        <w:widowControl w:val="0"/>
        <w:pBdr>
          <w:top w:val="nil"/>
          <w:left w:val="nil"/>
          <w:bottom w:val="nil"/>
          <w:right w:val="nil"/>
          <w:between w:val="nil"/>
        </w:pBdr>
        <w:rPr>
          <w:color w:val="000000"/>
          <w:sz w:val="22"/>
          <w:szCs w:val="22"/>
          <w:highlight w:val="yellow"/>
        </w:rPr>
      </w:pPr>
    </w:p>
    <w:p w:rsidR="00DB5E0B" w14:paraId="479CF57A" w14:textId="77777777">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All replies and documentation sent in response to this Notice should be marked with the File No. specified above, and mailed and emailed to the following address:</w:t>
      </w:r>
    </w:p>
    <w:p w:rsidR="00DB5E0B" w14:paraId="6B8220C2" w14:textId="77777777">
      <w:pPr>
        <w:rPr>
          <w:sz w:val="22"/>
          <w:szCs w:val="22"/>
        </w:rPr>
      </w:pPr>
    </w:p>
    <w:p w:rsidR="00DB5E0B" w14:paraId="7A2FB1B4" w14:textId="77777777">
      <w:pPr>
        <w:keepNext/>
        <w:keepLines/>
        <w:ind w:left="2520"/>
        <w:rPr>
          <w:sz w:val="22"/>
          <w:szCs w:val="22"/>
        </w:rPr>
      </w:pPr>
      <w:r>
        <w:rPr>
          <w:sz w:val="22"/>
          <w:szCs w:val="22"/>
        </w:rPr>
        <w:t>Federal Communications Commission</w:t>
      </w:r>
    </w:p>
    <w:p w:rsidR="00DB5E0B" w14:paraId="12C130B8" w14:textId="77777777">
      <w:pPr>
        <w:keepNext/>
        <w:keepLines/>
        <w:ind w:left="2520"/>
        <w:rPr>
          <w:sz w:val="22"/>
          <w:szCs w:val="22"/>
        </w:rPr>
      </w:pPr>
      <w:r>
        <w:rPr>
          <w:sz w:val="22"/>
          <w:szCs w:val="22"/>
        </w:rPr>
        <w:t>Atlanta Regional Office</w:t>
      </w:r>
    </w:p>
    <w:p w:rsidR="00DB5E0B" w14:paraId="1876ACBB" w14:textId="77777777">
      <w:pPr>
        <w:keepNext/>
        <w:keepLines/>
        <w:ind w:left="2520"/>
        <w:rPr>
          <w:sz w:val="22"/>
          <w:szCs w:val="22"/>
        </w:rPr>
      </w:pPr>
      <w:r>
        <w:rPr>
          <w:sz w:val="22"/>
          <w:szCs w:val="22"/>
        </w:rPr>
        <w:t>P.O. Box 1493</w:t>
      </w:r>
    </w:p>
    <w:p w:rsidR="00DB5E0B" w14:paraId="1BCD4A04" w14:textId="77777777">
      <w:pPr>
        <w:keepNext/>
        <w:keepLines/>
        <w:ind w:left="2520"/>
        <w:rPr>
          <w:sz w:val="22"/>
          <w:szCs w:val="22"/>
        </w:rPr>
      </w:pPr>
      <w:r>
        <w:rPr>
          <w:sz w:val="22"/>
          <w:szCs w:val="22"/>
        </w:rPr>
        <w:t>Powder Springs, GA 30127</w:t>
      </w:r>
    </w:p>
    <w:p w:rsidR="00DB5E0B" w14:paraId="2D9D4B41" w14:textId="77777777">
      <w:pPr>
        <w:keepNext/>
        <w:keepLines/>
        <w:ind w:left="2520"/>
        <w:rPr>
          <w:sz w:val="22"/>
          <w:szCs w:val="22"/>
        </w:rPr>
      </w:pPr>
      <w:r>
        <w:rPr>
          <w:sz w:val="22"/>
          <w:szCs w:val="22"/>
        </w:rPr>
        <w:t>FIELD@FCC.GOV</w:t>
      </w:r>
    </w:p>
    <w:p w:rsidR="00DB5E0B" w14:paraId="065CC140" w14:textId="77777777">
      <w:pPr>
        <w:keepNext/>
        <w:keepLines/>
        <w:ind w:left="1440" w:firstLine="720"/>
        <w:rPr>
          <w:sz w:val="22"/>
          <w:szCs w:val="22"/>
        </w:rPr>
      </w:pPr>
    </w:p>
    <w:p w:rsidR="00DB5E0B" w14:paraId="2F6E766A" w14:textId="77777777">
      <w:pPr>
        <w:tabs>
          <w:tab w:val="left" w:pos="-1440"/>
        </w:tabs>
        <w:ind w:left="720"/>
        <w:rPr>
          <w:sz w:val="22"/>
          <w:szCs w:val="22"/>
        </w:rPr>
      </w:pPr>
    </w:p>
    <w:p w:rsidR="00DB5E0B" w14:paraId="3BC182E5" w14:textId="0938631D">
      <w:pPr>
        <w:numPr>
          <w:ilvl w:val="0"/>
          <w:numId w:val="1"/>
        </w:numPr>
        <w:tabs>
          <w:tab w:val="left" w:pos="-1440"/>
        </w:tabs>
        <w:ind w:left="0" w:firstLine="720"/>
        <w:rPr>
          <w:sz w:val="22"/>
          <w:szCs w:val="22"/>
        </w:rPr>
      </w:pPr>
      <w:r>
        <w:rPr>
          <w:sz w:val="22"/>
          <w:szCs w:val="22"/>
        </w:rPr>
        <w:t xml:space="preserve">This Notice shall be sent to </w:t>
      </w:r>
      <w:r w:rsidR="00A0431C">
        <w:rPr>
          <w:sz w:val="22"/>
          <w:szCs w:val="22"/>
        </w:rPr>
        <w:t xml:space="preserve">Baton Rouge Hispanic Education Family </w:t>
      </w:r>
      <w:r w:rsidR="00A0431C">
        <w:rPr>
          <w:sz w:val="22"/>
          <w:szCs w:val="22"/>
        </w:rPr>
        <w:t>Fundation</w:t>
      </w:r>
      <w:r>
        <w:rPr>
          <w:sz w:val="22"/>
          <w:szCs w:val="22"/>
        </w:rPr>
        <w:t xml:space="preserve"> at its address of record</w:t>
      </w:r>
      <w:r w:rsidR="0010266B">
        <w:rPr>
          <w:sz w:val="22"/>
          <w:szCs w:val="22"/>
        </w:rPr>
        <w:t xml:space="preserve">, with a copy to its counsel, Dan Alpert, </w:t>
      </w:r>
      <w:r w:rsidRPr="0010266B" w:rsidR="0010266B">
        <w:rPr>
          <w:sz w:val="22"/>
          <w:szCs w:val="22"/>
        </w:rPr>
        <w:t>2120 21st Rd</w:t>
      </w:r>
      <w:r w:rsidR="0010266B">
        <w:rPr>
          <w:sz w:val="22"/>
          <w:szCs w:val="22"/>
        </w:rPr>
        <w:t>.</w:t>
      </w:r>
      <w:r w:rsidRPr="0010266B" w:rsidR="0010266B">
        <w:rPr>
          <w:sz w:val="22"/>
          <w:szCs w:val="22"/>
        </w:rPr>
        <w:t xml:space="preserve"> N</w:t>
      </w:r>
      <w:r w:rsidR="0010266B">
        <w:rPr>
          <w:sz w:val="22"/>
          <w:szCs w:val="22"/>
        </w:rPr>
        <w:t>.</w:t>
      </w:r>
      <w:r w:rsidRPr="0010266B" w:rsidR="0010266B">
        <w:rPr>
          <w:sz w:val="22"/>
          <w:szCs w:val="22"/>
        </w:rPr>
        <w:t>, Arlington, VA 22201</w:t>
      </w:r>
      <w:r>
        <w:rPr>
          <w:sz w:val="22"/>
          <w:szCs w:val="22"/>
        </w:rPr>
        <w:t>.</w:t>
      </w:r>
    </w:p>
    <w:p w:rsidR="00DB5E0B" w14:paraId="09C7627D" w14:textId="77777777">
      <w:pPr>
        <w:tabs>
          <w:tab w:val="left" w:pos="-1440"/>
        </w:tabs>
        <w:rPr>
          <w:sz w:val="22"/>
          <w:szCs w:val="22"/>
        </w:rPr>
      </w:pPr>
    </w:p>
    <w:p w:rsidR="00DB5E0B" w14:paraId="4119F9FA" w14:textId="77777777">
      <w:pPr>
        <w:numPr>
          <w:ilvl w:val="0"/>
          <w:numId w:val="1"/>
        </w:numPr>
        <w:tabs>
          <w:tab w:val="left" w:pos="-1440"/>
        </w:tabs>
        <w:ind w:left="0" w:firstLine="720"/>
        <w:rPr>
          <w:sz w:val="22"/>
          <w:szCs w:val="22"/>
        </w:rPr>
      </w:pPr>
      <w:bookmarkStart w:id="1" w:name="_30j0zll" w:colFirst="0" w:colLast="0"/>
      <w:bookmarkEnd w:id="1"/>
      <w:r>
        <w:rPr>
          <w:sz w:val="22"/>
          <w:szCs w:val="22"/>
        </w:rPr>
        <w:t>The Privacy Act of 1974</w:t>
      </w:r>
      <w:r>
        <w:rPr>
          <w:sz w:val="22"/>
          <w:szCs w:val="22"/>
          <w:vertAlign w:val="superscript"/>
        </w:rPr>
        <w:footnoteReference w:id="8"/>
      </w:r>
      <w:r>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DB5E0B" w14:paraId="1C97B7E0" w14:textId="77777777">
      <w:pPr>
        <w:tabs>
          <w:tab w:val="left" w:pos="-1440"/>
        </w:tabs>
        <w:rPr>
          <w:b/>
          <w:sz w:val="22"/>
          <w:szCs w:val="22"/>
        </w:rPr>
      </w:pPr>
    </w:p>
    <w:p w:rsidR="00DB5E0B" w14:paraId="0375CDDE" w14:textId="77777777">
      <w:pPr>
        <w:rPr>
          <w:sz w:val="22"/>
          <w:szCs w:val="22"/>
        </w:rPr>
      </w:pPr>
    </w:p>
    <w:p w:rsidR="00DB5E0B" w14:paraId="596767AF" w14:textId="77777777">
      <w:pPr>
        <w:rPr>
          <w:sz w:val="22"/>
          <w:szCs w:val="22"/>
        </w:rPr>
      </w:pPr>
    </w:p>
    <w:p w:rsidR="00DB5E0B" w14:paraId="6F017A97" w14:textId="77777777">
      <w:pPr>
        <w:rPr>
          <w:sz w:val="22"/>
          <w:szCs w:val="22"/>
        </w:rPr>
      </w:pPr>
    </w:p>
    <w:p w:rsidR="00DB5E0B" w14:paraId="26C8E0C7" w14:textId="77777777">
      <w:pPr>
        <w:rPr>
          <w:sz w:val="22"/>
          <w:szCs w:val="22"/>
        </w:rPr>
      </w:pPr>
    </w:p>
    <w:p w:rsidR="00DB5E0B" w14:paraId="0363F7C1" w14:textId="77777777">
      <w:pPr>
        <w:ind w:firstLine="4680"/>
        <w:rPr>
          <w:sz w:val="22"/>
          <w:szCs w:val="22"/>
        </w:rPr>
      </w:pPr>
    </w:p>
    <w:p w:rsidR="00DB5E0B" w14:paraId="2D246934" w14:textId="77777777">
      <w:pPr>
        <w:ind w:firstLine="4680"/>
        <w:rPr>
          <w:sz w:val="22"/>
          <w:szCs w:val="22"/>
        </w:rPr>
      </w:pPr>
    </w:p>
    <w:p w:rsidR="00DB5E0B" w14:paraId="68E4AB4E" w14:textId="77777777">
      <w:pPr>
        <w:ind w:firstLine="4680"/>
        <w:rPr>
          <w:sz w:val="22"/>
          <w:szCs w:val="22"/>
        </w:rPr>
      </w:pPr>
      <w:r>
        <w:rPr>
          <w:sz w:val="22"/>
          <w:szCs w:val="22"/>
        </w:rPr>
        <w:t>FEDERAL COMMUNICATIONS COMMISSION</w:t>
      </w:r>
    </w:p>
    <w:p w:rsidR="00DB5E0B" w14:paraId="603F1016" w14:textId="50D58672">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F7AA6">
        <w:rPr>
          <w:sz w:val="22"/>
          <w:szCs w:val="22"/>
        </w:rPr>
        <w:tab/>
      </w:r>
      <w:r w:rsidR="00DF7AA6">
        <w:rPr>
          <w:sz w:val="22"/>
          <w:szCs w:val="22"/>
        </w:rPr>
        <w:tab/>
      </w:r>
      <w:r w:rsidR="00DF7AA6">
        <w:rPr>
          <w:sz w:val="22"/>
          <w:szCs w:val="22"/>
        </w:rPr>
        <w:tab/>
      </w:r>
      <w:r w:rsidR="00DF7AA6">
        <w:rPr>
          <w:sz w:val="22"/>
          <w:szCs w:val="22"/>
        </w:rPr>
        <w:tab/>
      </w:r>
      <w:r w:rsidR="00DF7AA6">
        <w:rPr>
          <w:sz w:val="22"/>
          <w:szCs w:val="22"/>
        </w:rPr>
        <w:tab/>
      </w:r>
      <w:r w:rsidR="00DF7AA6">
        <w:rPr>
          <w:sz w:val="22"/>
          <w:szCs w:val="22"/>
        </w:rPr>
        <w:tab/>
        <w:t xml:space="preserve">      </w:t>
      </w:r>
    </w:p>
    <w:p w:rsidR="000A7B15" w14:paraId="6E5911ED" w14:textId="57E044E3">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76E1" w14:paraId="51BF9CA5" w14:textId="77777777">
      <w:pPr>
        <w:rPr>
          <w:sz w:val="22"/>
          <w:szCs w:val="22"/>
        </w:rPr>
      </w:pPr>
      <w:bookmarkStart w:id="2" w:name="_GoBack"/>
      <w:bookmarkEnd w:id="2"/>
    </w:p>
    <w:p w:rsidR="00DB5E0B" w14:paraId="6A11AD8D" w14:textId="77777777">
      <w:pPr>
        <w:rPr>
          <w:sz w:val="22"/>
          <w:szCs w:val="22"/>
        </w:rPr>
      </w:pPr>
    </w:p>
    <w:p w:rsidR="00DB5E0B" w14:paraId="433BEF30" w14:textId="77777777">
      <w:pPr>
        <w:ind w:firstLine="4680"/>
        <w:rPr>
          <w:sz w:val="22"/>
          <w:szCs w:val="22"/>
        </w:rPr>
      </w:pPr>
      <w:r>
        <w:rPr>
          <w:sz w:val="22"/>
          <w:szCs w:val="22"/>
        </w:rPr>
        <w:t>Ronald Ramage</w:t>
      </w:r>
    </w:p>
    <w:p w:rsidR="00DB5E0B" w14:paraId="6D53CCAA" w14:textId="77777777">
      <w:pPr>
        <w:ind w:firstLine="4680"/>
        <w:rPr>
          <w:sz w:val="22"/>
          <w:szCs w:val="22"/>
        </w:rPr>
      </w:pPr>
      <w:r>
        <w:rPr>
          <w:sz w:val="22"/>
          <w:szCs w:val="22"/>
        </w:rPr>
        <w:t>Regional Director, Region Two</w:t>
      </w:r>
    </w:p>
    <w:p w:rsidR="00DB5E0B" w14:paraId="42DF99DB" w14:textId="77777777">
      <w:pPr>
        <w:widowControl w:val="0"/>
        <w:pBdr>
          <w:top w:val="nil"/>
          <w:left w:val="nil"/>
          <w:bottom w:val="nil"/>
          <w:right w:val="nil"/>
          <w:between w:val="nil"/>
        </w:pBdr>
        <w:tabs>
          <w:tab w:val="center" w:pos="4320"/>
          <w:tab w:val="right" w:pos="8640"/>
        </w:tabs>
        <w:ind w:firstLine="4680"/>
        <w:rPr>
          <w:color w:val="000000"/>
          <w:sz w:val="22"/>
          <w:szCs w:val="22"/>
        </w:rPr>
      </w:pPr>
      <w:r>
        <w:rPr>
          <w:color w:val="000000"/>
          <w:sz w:val="22"/>
          <w:szCs w:val="22"/>
        </w:rPr>
        <w:t>Enforcement Bureau</w:t>
      </w:r>
    </w:p>
    <w:sectPr>
      <w:headerReference w:type="default" r:id="rId5"/>
      <w:footerReference w:type="even" r:id="rId6"/>
      <w:footerReference w:type="default" r:id="rId7"/>
      <w:headerReference w:type="first" r:id="rId8"/>
      <w:pgSz w:w="12240" w:h="15840"/>
      <w:pgMar w:top="1440" w:right="1440" w:bottom="1440" w:left="1440" w:header="1440" w:footer="144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14:paraId="25DF2636" w14:textId="77777777">
    <w:pPr>
      <w:widowControl w:val="0"/>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fldChar w:fldCharType="end"/>
    </w:r>
  </w:p>
  <w:p w:rsidR="00DB5E0B" w14:paraId="7CC9B629" w14:textId="77777777">
    <w:pPr>
      <w:widowControl w:val="0"/>
      <w:pBdr>
        <w:top w:val="nil"/>
        <w:left w:val="nil"/>
        <w:bottom w:val="nil"/>
        <w:right w:val="nil"/>
        <w:between w:val="nil"/>
      </w:pBdr>
      <w:tabs>
        <w:tab w:val="center" w:pos="4320"/>
        <w:tab w:val="right" w:pos="8640"/>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14:paraId="79C4F671" w14:textId="77777777">
    <w:pPr>
      <w:widowControl w:val="0"/>
      <w:pBdr>
        <w:top w:val="nil"/>
        <w:left w:val="nil"/>
        <w:bottom w:val="nil"/>
        <w:right w:val="nil"/>
        <w:between w:val="nil"/>
      </w:pBdr>
      <w:tabs>
        <w:tab w:val="center" w:pos="4320"/>
        <w:tab w:val="right" w:pos="8640"/>
      </w:tabs>
      <w:jc w:val="center"/>
      <w:rPr>
        <w:color w:val="000000"/>
        <w:sz w:val="24"/>
        <w:szCs w:val="24"/>
      </w:rPr>
    </w:pPr>
  </w:p>
  <w:p w:rsidR="00DB5E0B" w14:paraId="142F477D" w14:textId="77777777">
    <w:pPr>
      <w:widowControl w:val="0"/>
      <w:pBdr>
        <w:top w:val="nil"/>
        <w:left w:val="nil"/>
        <w:bottom w:val="nil"/>
        <w:right w:val="nil"/>
        <w:between w:val="nil"/>
      </w:pBdr>
      <w:tabs>
        <w:tab w:val="center" w:pos="4320"/>
        <w:tab w:val="right" w:pos="8640"/>
      </w:tabs>
      <w:jc w:val="center"/>
      <w:rPr>
        <w:color w:val="000000"/>
        <w:sz w:val="24"/>
        <w:szCs w:val="24"/>
      </w:rPr>
    </w:pPr>
  </w:p>
  <w:p w:rsidR="00DB5E0B" w14:paraId="74D63264" w14:textId="77777777">
    <w:pPr>
      <w:widowControl w:val="0"/>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C13DF">
      <w:rPr>
        <w:noProof/>
        <w:color w:val="000000"/>
        <w:sz w:val="24"/>
        <w:szCs w:val="24"/>
      </w:rPr>
      <w:t>3</w:t>
    </w:r>
    <w:r>
      <w:rPr>
        <w:color w:val="000000"/>
        <w:sz w:val="24"/>
        <w:szCs w:val="24"/>
      </w:rPr>
      <w:fldChar w:fldCharType="end"/>
    </w:r>
  </w:p>
  <w:p w:rsidR="00DB5E0B" w14:paraId="58581811" w14:textId="77777777">
    <w:pPr>
      <w:rPr>
        <w:sz w:val="22"/>
        <w:szCs w:val="22"/>
      </w:rPr>
    </w:pPr>
  </w:p>
  <w:p w:rsidR="00DB5E0B" w14:paraId="46A03A30" w14:textId="7777777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7A21" w14:paraId="58FBE39A" w14:textId="77777777">
      <w:r>
        <w:separator/>
      </w:r>
    </w:p>
  </w:footnote>
  <w:footnote w:type="continuationSeparator" w:id="1">
    <w:p w:rsidR="00637A21" w14:paraId="00828503" w14:textId="77777777">
      <w:r>
        <w:continuationSeparator/>
      </w:r>
    </w:p>
  </w:footnote>
  <w:footnote w:id="2">
    <w:p w:rsidR="00DB5E0B" w14:paraId="28D19C76" w14:textId="1B8B7864">
      <w:pPr>
        <w:widowControl w:val="0"/>
        <w:pBdr>
          <w:top w:val="nil"/>
          <w:left w:val="nil"/>
          <w:bottom w:val="nil"/>
          <w:right w:val="nil"/>
          <w:between w:val="nil"/>
        </w:pBdr>
        <w:rPr>
          <w:color w:val="000000"/>
        </w:rPr>
      </w:pPr>
      <w:r>
        <w:rPr>
          <w:vertAlign w:val="superscript"/>
        </w:rPr>
        <w:footnoteRef/>
      </w:r>
      <w:r>
        <w:rPr>
          <w:color w:val="000000"/>
        </w:rPr>
        <w:t xml:space="preserve"> 47 CFR § 1.89.</w:t>
      </w:r>
    </w:p>
    <w:p w:rsidR="00DB5E0B" w14:paraId="0C6C14F1" w14:textId="77777777">
      <w:pPr>
        <w:widowControl w:val="0"/>
        <w:pBdr>
          <w:top w:val="nil"/>
          <w:left w:val="nil"/>
          <w:bottom w:val="nil"/>
          <w:right w:val="nil"/>
          <w:between w:val="nil"/>
        </w:pBdr>
        <w:rPr>
          <w:color w:val="000000"/>
        </w:rPr>
      </w:pPr>
    </w:p>
  </w:footnote>
  <w:footnote w:id="3">
    <w:p w:rsidR="00DB5E0B" w14:paraId="296C0C43" w14:textId="34B922F5">
      <w:pPr>
        <w:tabs>
          <w:tab w:val="left" w:pos="-1440"/>
        </w:tabs>
        <w:rPr>
          <w:b/>
          <w:sz w:val="22"/>
          <w:szCs w:val="22"/>
        </w:rPr>
      </w:pPr>
      <w:r>
        <w:rPr>
          <w:vertAlign w:val="superscript"/>
        </w:rPr>
        <w:footnoteRef/>
      </w:r>
      <w:r>
        <w:t xml:space="preserve"> 47 CFR § 1.89(a).</w:t>
      </w:r>
    </w:p>
    <w:p w:rsidR="00DB5E0B" w14:paraId="311F2E59" w14:textId="77777777">
      <w:pPr>
        <w:widowControl w:val="0"/>
        <w:pBdr>
          <w:top w:val="nil"/>
          <w:left w:val="nil"/>
          <w:bottom w:val="nil"/>
          <w:right w:val="nil"/>
          <w:between w:val="nil"/>
        </w:pBdr>
        <w:spacing w:after="120"/>
        <w:rPr>
          <w:color w:val="000000"/>
          <w:sz w:val="18"/>
          <w:szCs w:val="18"/>
        </w:rPr>
      </w:pPr>
    </w:p>
  </w:footnote>
  <w:footnote w:id="4">
    <w:p w:rsidR="00DB5E0B" w14:paraId="1441D52A" w14:textId="77777777">
      <w:pPr>
        <w:widowControl w:val="0"/>
        <w:pBdr>
          <w:top w:val="nil"/>
          <w:left w:val="nil"/>
          <w:bottom w:val="nil"/>
          <w:right w:val="nil"/>
          <w:between w:val="nil"/>
        </w:pBdr>
        <w:spacing w:after="120"/>
        <w:rPr>
          <w:color w:val="000000"/>
        </w:rPr>
      </w:pPr>
      <w:r>
        <w:rPr>
          <w:vertAlign w:val="superscript"/>
        </w:rPr>
        <w:footnoteRef/>
      </w:r>
      <w:r>
        <w:rPr>
          <w:color w:val="000000"/>
        </w:rPr>
        <w:t xml:space="preserve"> 47 U.S.C. § 308(b).</w:t>
      </w:r>
    </w:p>
  </w:footnote>
  <w:footnote w:id="5">
    <w:p w:rsidR="00DB5E0B" w14:paraId="3C9B7504" w14:textId="17DC900F">
      <w:pPr>
        <w:widowControl w:val="0"/>
        <w:pBdr>
          <w:top w:val="nil"/>
          <w:left w:val="nil"/>
          <w:bottom w:val="nil"/>
          <w:right w:val="nil"/>
          <w:between w:val="nil"/>
        </w:pBdr>
        <w:spacing w:after="120"/>
        <w:rPr>
          <w:color w:val="000000"/>
          <w:sz w:val="18"/>
          <w:szCs w:val="18"/>
        </w:rPr>
      </w:pPr>
      <w:r>
        <w:rPr>
          <w:vertAlign w:val="superscript"/>
        </w:rPr>
        <w:footnoteRef/>
      </w:r>
      <w:r>
        <w:rPr>
          <w:color w:val="000000"/>
        </w:rPr>
        <w:t xml:space="preserve"> 47 CFR § 1.89(c).</w:t>
      </w:r>
    </w:p>
  </w:footnote>
  <w:footnote w:id="6">
    <w:p w:rsidR="00DB5E0B" w14:paraId="32E4DC3E" w14:textId="7CCA4AE3">
      <w:pPr>
        <w:widowControl w:val="0"/>
        <w:spacing w:after="120"/>
      </w:pPr>
      <w:r>
        <w:rPr>
          <w:vertAlign w:val="superscript"/>
        </w:rPr>
        <w:footnoteRef/>
      </w:r>
      <w:r>
        <w:t xml:space="preserve"> Section 1.16 of the Rules provides that “[a]</w:t>
      </w:r>
      <w:r>
        <w:t>ny</w:t>
      </w:r>
      <w:r>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DB5E0B" w14:paraId="10E1FC6F" w14:textId="77777777">
      <w:pPr>
        <w:widowControl w:val="0"/>
        <w:pBdr>
          <w:top w:val="nil"/>
          <w:left w:val="nil"/>
          <w:bottom w:val="nil"/>
          <w:right w:val="nil"/>
          <w:between w:val="nil"/>
        </w:pBdr>
        <w:spacing w:after="120"/>
        <w:rPr>
          <w:color w:val="000000"/>
        </w:rPr>
      </w:pPr>
      <w:r>
        <w:rPr>
          <w:vertAlign w:val="superscript"/>
        </w:rPr>
        <w:footnoteRef/>
      </w:r>
      <w:r>
        <w:rPr>
          <w:color w:val="000000"/>
        </w:rPr>
        <w:t xml:space="preserve"> 18 U.S.C. § 1001 </w:t>
      </w:r>
      <w:r>
        <w:rPr>
          <w:i/>
          <w:color w:val="000000"/>
        </w:rPr>
        <w:t xml:space="preserve">et seq. See also </w:t>
      </w:r>
      <w:r>
        <w:rPr>
          <w:color w:val="000000"/>
        </w:rPr>
        <w:t>47 C.F.R. § 1.17.</w:t>
      </w:r>
    </w:p>
  </w:footnote>
  <w:footnote w:id="8">
    <w:p w:rsidR="00DB5E0B" w14:paraId="489DF3DC" w14:textId="77777777">
      <w:pPr>
        <w:widowControl w:val="0"/>
        <w:pBdr>
          <w:top w:val="nil"/>
          <w:left w:val="nil"/>
          <w:bottom w:val="nil"/>
          <w:right w:val="nil"/>
          <w:between w:val="nil"/>
        </w:pBdr>
        <w:rPr>
          <w:color w:val="000000"/>
        </w:rPr>
      </w:pPr>
      <w:r>
        <w:rPr>
          <w:vertAlign w:val="superscript"/>
        </w:rPr>
        <w:footnoteRef/>
      </w:r>
      <w:r>
        <w:rPr>
          <w:color w:val="000000"/>
        </w:rPr>
        <w:t xml:space="preserve"> 5 U.S.C. § 552a(e)(3).</w:t>
      </w:r>
    </w:p>
    <w:p w:rsidR="00DB5E0B" w14:paraId="6EA107F9" w14:textId="77777777">
      <w:pPr>
        <w:widowControl w:val="0"/>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14:paraId="01D4D93D" w14:textId="77777777">
    <w:pPr>
      <w:tabs>
        <w:tab w:val="center" w:pos="4680"/>
        <w:tab w:val="right" w:pos="9360"/>
      </w:tabs>
      <w:jc w:val="both"/>
      <w:rPr>
        <w:sz w:val="22"/>
        <w:szCs w:val="22"/>
      </w:rPr>
    </w:pPr>
    <w:r>
      <w:rPr>
        <w:sz w:val="22"/>
        <w:szCs w:val="22"/>
      </w:rPr>
      <w:tab/>
    </w:r>
    <w:r>
      <w:rPr>
        <w:b/>
        <w:sz w:val="22"/>
        <w:szCs w:val="22"/>
      </w:rPr>
      <w:t>Federal Communications Commission</w:t>
    </w:r>
    <w:r>
      <w:rPr>
        <w:b/>
        <w:sz w:val="22"/>
        <w:szCs w:val="22"/>
      </w:rPr>
      <w:tab/>
    </w:r>
  </w:p>
  <w:p w:rsidR="00DB5E0B" w14:paraId="5D9EA657" w14:textId="77777777">
    <w:pPr>
      <w:jc w:val="both"/>
      <w:rPr>
        <w:sz w:val="22"/>
        <w:szCs w:val="22"/>
      </w:rPr>
    </w:pPr>
    <w:r>
      <w:rPr>
        <w:noProof/>
      </w:rPr>
      <mc:AlternateContent>
        <mc:Choice Requires="wps">
          <w:drawing>
            <wp:anchor distT="0" distB="0" distL="0" distR="0" simplePos="0" relativeHeight="251658240" behindDoc="1" locked="0" layoutInCell="1" allowOverlap="1">
              <wp:simplePos x="0" y="0"/>
              <wp:positionH relativeFrom="column">
                <wp:posOffset>0</wp:posOffset>
              </wp:positionH>
              <wp:positionV relativeFrom="paragraph">
                <wp:posOffset>0</wp:posOffset>
              </wp:positionV>
              <wp:extent cx="5943600" cy="12700"/>
              <wp:effectExtent l="0" t="0" r="0" b="0"/>
              <wp:wrapSquare wrapText="bothSides"/>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2374200" y="3773968"/>
                        <a:ext cx="5943600" cy="12700"/>
                      </a:xfrm>
                      <a:prstGeom prst="rect">
                        <a:avLst/>
                      </a:prstGeom>
                      <a:solidFill>
                        <a:srgbClr val="000000"/>
                      </a:solidFill>
                      <a:ln>
                        <a:noFill/>
                      </a:ln>
                    </wps:spPr>
                    <wps:txbx>
                      <w:txbxContent>
                        <w:p w:rsidR="00DB5E0B" w14:textId="77777777"/>
                      </w:txbxContent>
                    </wps:txbx>
                    <wps:bodyPr spcFirstLastPara="1" wrap="square" lIns="91425" tIns="91425" rIns="91425" bIns="91425" anchor="ctr" anchorCtr="0"/>
                  </wps:wsp>
                </a:graphicData>
              </a:graphic>
            </wp:anchor>
          </w:drawing>
        </mc:Choice>
        <mc:Fallback>
          <w:pict>
            <v:rect id="Rectangle 2" o:spid="_x0000_s2049" style="width:468pt;height:1pt;margin-top:0;margin-left:0;mso-wrap-distance-bottom:0;mso-wrap-distance-left:0;mso-wrap-distance-right:0;mso-wrap-distance-top:0;mso-wrap-style:square;position:absolute;visibility:visible;v-text-anchor:middle;z-index:-251657216" fillcolor="black" stroked="f">
              <v:textbox inset="7.2pt,7.2pt,7.2pt,7.2pt">
                <w:txbxContent>
                  <w:p w:rsidR="00DB5E0B" w14:paraId="6C794D9E" w14:textId="77777777"/>
                </w:txbxContent>
              </v:textbox>
              <w10:wrap type="square"/>
            </v:rect>
          </w:pict>
        </mc:Fallback>
      </mc:AlternateContent>
    </w:r>
  </w:p>
  <w:p w:rsidR="00DB5E0B" w14:paraId="2A6045C1" w14:textId="77777777">
    <w:pPr>
      <w:jc w:val="both"/>
      <w:rPr>
        <w:sz w:val="22"/>
        <w:szCs w:val="22"/>
      </w:rPr>
    </w:pPr>
  </w:p>
  <w:p w:rsidR="00DB5E0B" w14:paraId="4A60C80B" w14:textId="77777777">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14:paraId="701C98E7" w14:textId="77777777">
    <w:pPr>
      <w:pStyle w:val="Heading2"/>
      <w:tabs>
        <w:tab w:val="right" w:pos="9360"/>
      </w:tabs>
    </w:pPr>
    <w:r>
      <w:t>Federal Communications Commission</w:t>
    </w:r>
  </w:p>
  <w:p w:rsidR="00DB5E0B" w14:paraId="1422BDEC" w14:textId="77777777">
    <w:pPr>
      <w:jc w:val="both"/>
      <w:rPr>
        <w:sz w:val="22"/>
        <w:szCs w:val="22"/>
      </w:rPr>
    </w:pPr>
    <w:r>
      <w:rPr>
        <w:noProof/>
      </w:rPr>
      <mc:AlternateContent>
        <mc:Choice Requires="wps">
          <w:drawing>
            <wp:anchor distT="0" distB="0" distL="0" distR="0" simplePos="0" relativeHeight="251660288" behindDoc="1" locked="0" layoutInCell="1" allowOverlap="1">
              <wp:simplePos x="0" y="0"/>
              <wp:positionH relativeFrom="column">
                <wp:posOffset>0</wp:posOffset>
              </wp:positionH>
              <wp:positionV relativeFrom="paragraph">
                <wp:posOffset>0</wp:posOffset>
              </wp:positionV>
              <wp:extent cx="5943600" cy="12700"/>
              <wp:effectExtent l="0" t="0" r="0" b="0"/>
              <wp:wrapSquare wrapText="bothSides"/>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2374200" y="3773968"/>
                        <a:ext cx="5943600" cy="12700"/>
                      </a:xfrm>
                      <a:prstGeom prst="rect">
                        <a:avLst/>
                      </a:prstGeom>
                      <a:solidFill>
                        <a:srgbClr val="000000"/>
                      </a:solidFill>
                      <a:ln>
                        <a:noFill/>
                      </a:ln>
                    </wps:spPr>
                    <wps:txbx>
                      <w:txbxContent>
                        <w:p w:rsidR="00DB5E0B" w14:textId="77777777"/>
                      </w:txbxContent>
                    </wps:txbx>
                    <wps:bodyPr spcFirstLastPara="1" wrap="square" lIns="91425" tIns="91425" rIns="91425" bIns="91425" anchor="ctr" anchorCtr="0"/>
                  </wps:wsp>
                </a:graphicData>
              </a:graphic>
            </wp:anchor>
          </w:drawing>
        </mc:Choice>
        <mc:Fallback>
          <w:pict>
            <v:rect id="Rectangle 1" o:spid="_x0000_s2050" style="width:468pt;height:1pt;margin-top:0;margin-left:0;mso-wrap-distance-bottom:0;mso-wrap-distance-left:0;mso-wrap-distance-right:0;mso-wrap-distance-top:0;mso-wrap-style:square;position:absolute;visibility:visible;v-text-anchor:middle;z-index:-251655168" fillcolor="black" stroked="f">
              <v:textbox inset="7.2pt,7.2pt,7.2pt,7.2pt">
                <w:txbxContent>
                  <w:p w:rsidR="00DB5E0B" w14:paraId="14805C2D" w14:textId="77777777"/>
                </w:txbxContent>
              </v:textbox>
              <w10:wrap type="square"/>
            </v:rect>
          </w:pict>
        </mc:Fallback>
      </mc:AlternateContent>
    </w:r>
  </w:p>
  <w:p w:rsidR="00DB5E0B" w14:paraId="13DCBEB5" w14:textId="77777777">
    <w:pPr>
      <w:tabs>
        <w:tab w:val="center" w:pos="4680"/>
        <w:tab w:val="right" w:pos="9360"/>
      </w:tabs>
      <w:jc w:val="both"/>
    </w:pPr>
  </w:p>
  <w:p w:rsidR="00DB5E0B" w14:paraId="168CF388" w14:textId="77777777">
    <w:pPr>
      <w:tabs>
        <w:tab w:val="center" w:pos="468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687448"/>
    <w:multiLevelType w:val="multilevel"/>
    <w:tmpl w:val="6C2C7164"/>
    <w:lvl w:ilvl="0">
      <w:start w:val="1"/>
      <w:numFmt w:val="decimal"/>
      <w:lvlText w:val="%1."/>
      <w:lvlJc w:val="left"/>
      <w:pPr>
        <w:ind w:left="720" w:hanging="360"/>
      </w:pPr>
      <w:rPr>
        <w:b w:val="0"/>
        <w:i w:val="0"/>
      </w:rPr>
    </w:lvl>
    <w:lvl w:ilvl="1">
      <w:start w:val="1"/>
      <w:numFmt w:val="lowerLetter"/>
      <w:lvlText w:val="%2."/>
      <w:lvlJc w:val="left"/>
      <w:pPr>
        <w:ind w:left="2520" w:hanging="144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247334"/>
    <w:multiLevelType w:val="multilevel"/>
    <w:tmpl w:val="E88ABC40"/>
    <w:lvl w:ilvl="0">
      <w:start w:val="1"/>
      <w:numFmt w:val="lowerLetter"/>
      <w:lvlText w:val="%1."/>
      <w:lvlJc w:val="left"/>
      <w:pPr>
        <w:ind w:left="4320" w:hanging="360"/>
      </w:p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0B"/>
    <w:rsid w:val="000A7B15"/>
    <w:rsid w:val="0010266B"/>
    <w:rsid w:val="00110A0E"/>
    <w:rsid w:val="00161F5A"/>
    <w:rsid w:val="001A0CAA"/>
    <w:rsid w:val="001B43CD"/>
    <w:rsid w:val="001C13DF"/>
    <w:rsid w:val="0042455B"/>
    <w:rsid w:val="00637A21"/>
    <w:rsid w:val="006B66A6"/>
    <w:rsid w:val="009976E1"/>
    <w:rsid w:val="00A0431C"/>
    <w:rsid w:val="00B73903"/>
    <w:rsid w:val="00B95B70"/>
    <w:rsid w:val="00D36BA8"/>
    <w:rsid w:val="00DB5E0B"/>
    <w:rsid w:val="00DF7AA6"/>
    <w:rsid w:val="00E035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A0853F8-BAF9-4013-99F8-5916CBE8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720" w:hanging="720"/>
      <w:outlineLvl w:val="0"/>
    </w:pPr>
    <w:rPr>
      <w:b/>
      <w:sz w:val="22"/>
      <w:szCs w:val="22"/>
    </w:rPr>
  </w:style>
  <w:style w:type="paragraph" w:styleId="Heading2">
    <w:name w:val="heading 2"/>
    <w:basedOn w:val="Normal"/>
    <w:next w:val="Normal"/>
    <w:pPr>
      <w:keepNext/>
      <w:widowControl w:val="0"/>
      <w:tabs>
        <w:tab w:val="center" w:pos="4680"/>
        <w:tab w:val="left" w:pos="5040"/>
        <w:tab w:val="left" w:pos="5760"/>
        <w:tab w:val="left" w:pos="6480"/>
        <w:tab w:val="left" w:pos="7200"/>
        <w:tab w:val="left" w:pos="7920"/>
        <w:tab w:val="left" w:pos="8640"/>
        <w:tab w:val="left" w:pos="9360"/>
      </w:tabs>
      <w:jc w:val="center"/>
      <w:outlineLvl w:val="1"/>
    </w:pPr>
    <w:rPr>
      <w:b/>
      <w:sz w:val="22"/>
      <w:szCs w:val="22"/>
    </w:rPr>
  </w:style>
  <w:style w:type="paragraph" w:styleId="Heading3">
    <w:name w:val="heading 3"/>
    <w:basedOn w:val="Normal"/>
    <w:next w:val="Normal"/>
    <w:pPr>
      <w:keepNext/>
      <w:widowControl w:val="0"/>
      <w:tabs>
        <w:tab w:val="left" w:pos="4680"/>
      </w:tabs>
      <w:ind w:left="720"/>
      <w:jc w:val="center"/>
      <w:outlineLvl w:val="2"/>
    </w:pPr>
    <w:rPr>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widowControl w:val="0"/>
      <w:tabs>
        <w:tab w:val="left" w:pos="4680"/>
      </w:tabs>
      <w:jc w:val="center"/>
      <w:outlineLvl w:val="4"/>
    </w:pPr>
    <w:rPr>
      <w:b/>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tabs>
        <w:tab w:val="left" w:pos="6480"/>
      </w:tabs>
      <w:jc w:val="right"/>
    </w:pPr>
    <w:rPr>
      <w:b/>
      <w:sz w:val="22"/>
      <w:szCs w:val="22"/>
    </w:rPr>
  </w:style>
  <w:style w:type="paragraph" w:styleId="BalloonText">
    <w:name w:val="Balloon Text"/>
    <w:basedOn w:val="Normal"/>
    <w:link w:val="BalloonTextChar"/>
    <w:uiPriority w:val="99"/>
    <w:semiHidden/>
    <w:unhideWhenUsed/>
    <w:rsid w:val="001A0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