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5C83" w:rsidP="007227E6" w14:paraId="77F10970" w14:textId="278ACFA2">
      <w:pPr>
        <w:pStyle w:val="Header"/>
        <w:jc w:val="center"/>
        <w:rPr>
          <w:b/>
          <w:sz w:val="22"/>
        </w:rPr>
      </w:pPr>
      <w:r>
        <w:rPr>
          <w:b/>
          <w:sz w:val="22"/>
        </w:rPr>
        <w:t>Before the</w:t>
      </w:r>
    </w:p>
    <w:p w:rsidR="000D5C83" w:rsidP="005F6D21"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0D5C83" w:rsidP="005F6D21"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Washington, D.C. 20554</w:t>
      </w:r>
    </w:p>
    <w:p w:rsidR="000D5C83" w:rsidP="005F6D21" w14:paraId="55EE7291" w14:textId="77777777">
      <w:pPr>
        <w:tabs>
          <w:tab w:val="left" w:pos="4680"/>
        </w:tabs>
        <w:spacing w:line="226" w:lineRule="auto"/>
        <w:jc w:val="center"/>
        <w:rPr>
          <w:sz w:val="22"/>
        </w:rPr>
      </w:pPr>
    </w:p>
    <w:p w:rsidR="000D5C83" w:rsidRPr="001F172E" w:rsidP="005F6D21" w14:paraId="37AE1B37" w14:textId="77777777">
      <w:pPr>
        <w:tabs>
          <w:tab w:val="left" w:pos="4680"/>
        </w:tabs>
        <w:spacing w:line="226" w:lineRule="auto"/>
        <w:jc w:val="center"/>
        <w:rPr>
          <w:sz w:val="22"/>
          <w:szCs w:val="22"/>
        </w:rPr>
      </w:pPr>
    </w:p>
    <w:p w:rsidR="000D5C83" w:rsidRPr="001F172E" w:rsidP="005F6D21" w14:paraId="2D56CE18" w14:textId="77777777">
      <w:pPr>
        <w:pStyle w:val="BodyText2"/>
        <w:tabs>
          <w:tab w:val="left" w:pos="4680"/>
        </w:tabs>
        <w:spacing w:line="226" w:lineRule="auto"/>
        <w:rPr>
          <w:szCs w:val="22"/>
        </w:rPr>
      </w:pPr>
    </w:p>
    <w:p w:rsidR="000D5C83" w:rsidRPr="00090AE9" w:rsidP="005F6D21" w14:paraId="762D42A3" w14:textId="77777777">
      <w:pPr>
        <w:pStyle w:val="BodyText"/>
        <w:tabs>
          <w:tab w:val="left" w:pos="4680"/>
          <w:tab w:val="left" w:pos="5760"/>
          <w:tab w:val="left" w:pos="6300"/>
        </w:tabs>
        <w:rPr>
          <w:szCs w:val="22"/>
        </w:rPr>
      </w:pPr>
      <w:r w:rsidRPr="00090AE9">
        <w:rPr>
          <w:szCs w:val="22"/>
        </w:rPr>
        <w:t>In the Matter of</w:t>
      </w:r>
      <w:r w:rsidRPr="00090AE9">
        <w:rPr>
          <w:szCs w:val="22"/>
        </w:rPr>
        <w:tab/>
        <w:t>)</w:t>
      </w:r>
    </w:p>
    <w:p w:rsidR="000D5C83" w:rsidRPr="00090AE9" w:rsidP="005F6D21" w14:paraId="416251D7" w14:textId="112B1044">
      <w:pPr>
        <w:tabs>
          <w:tab w:val="left" w:pos="4680"/>
          <w:tab w:val="left" w:pos="5760"/>
          <w:tab w:val="left" w:pos="6300"/>
        </w:tabs>
        <w:spacing w:line="226" w:lineRule="auto"/>
        <w:rPr>
          <w:sz w:val="22"/>
          <w:szCs w:val="22"/>
        </w:rPr>
      </w:pPr>
      <w:r w:rsidRPr="00090AE9">
        <w:rPr>
          <w:sz w:val="22"/>
          <w:szCs w:val="22"/>
        </w:rPr>
        <w:tab/>
        <w:t>)</w:t>
      </w:r>
    </w:p>
    <w:p w:rsidR="005F408D" w:rsidRPr="00090AE9" w:rsidP="005F6D21" w14:paraId="0673ACB0" w14:textId="2FCD629F">
      <w:pPr>
        <w:widowControl w:val="0"/>
        <w:tabs>
          <w:tab w:val="left" w:pos="4680"/>
        </w:tabs>
        <w:autoSpaceDE w:val="0"/>
        <w:autoSpaceDN w:val="0"/>
        <w:adjustRightInd w:val="0"/>
        <w:rPr>
          <w:rFonts w:eastAsiaTheme="minorHAnsi"/>
          <w:sz w:val="22"/>
          <w:szCs w:val="22"/>
        </w:rPr>
      </w:pPr>
      <w:r w:rsidRPr="00090AE9">
        <w:rPr>
          <w:rFonts w:eastAsiaTheme="minorHAnsi"/>
          <w:sz w:val="22"/>
          <w:szCs w:val="22"/>
        </w:rPr>
        <w:t>Hubbard’s Advertising Agency, Inc.</w:t>
      </w:r>
      <w:r w:rsidRPr="00090AE9" w:rsidR="00320391">
        <w:rPr>
          <w:rFonts w:eastAsiaTheme="minorHAnsi"/>
          <w:sz w:val="22"/>
          <w:szCs w:val="22"/>
        </w:rPr>
        <w:tab/>
        <w:t>)</w:t>
      </w:r>
      <w:r w:rsidRPr="00090AE9" w:rsidR="00320391">
        <w:rPr>
          <w:rFonts w:eastAsiaTheme="minorHAnsi"/>
          <w:sz w:val="22"/>
          <w:szCs w:val="22"/>
        </w:rPr>
        <w:tab/>
      </w:r>
      <w:r w:rsidRPr="00090AE9" w:rsidR="00320391">
        <w:rPr>
          <w:rFonts w:eastAsiaTheme="minorHAnsi"/>
          <w:sz w:val="22"/>
          <w:szCs w:val="22"/>
        </w:rPr>
        <w:tab/>
      </w:r>
      <w:r w:rsidRPr="00090AE9" w:rsidR="00320391">
        <w:rPr>
          <w:sz w:val="22"/>
          <w:szCs w:val="22"/>
        </w:rPr>
        <w:t>File No.:  EB-FIELDNER-18-000</w:t>
      </w:r>
      <w:r w:rsidRPr="00090AE9">
        <w:rPr>
          <w:sz w:val="22"/>
          <w:szCs w:val="22"/>
        </w:rPr>
        <w:t>27957</w:t>
      </w:r>
    </w:p>
    <w:p w:rsidR="000D5C83" w:rsidRPr="00090AE9" w:rsidP="005F6D21" w14:paraId="73EA6ADC" w14:textId="1BD04860">
      <w:pPr>
        <w:tabs>
          <w:tab w:val="left" w:pos="4680"/>
          <w:tab w:val="left" w:pos="5580"/>
          <w:tab w:val="left" w:pos="6570"/>
        </w:tabs>
        <w:spacing w:line="226" w:lineRule="auto"/>
        <w:rPr>
          <w:sz w:val="22"/>
          <w:szCs w:val="22"/>
        </w:rPr>
      </w:pPr>
      <w:r w:rsidRPr="00090AE9">
        <w:rPr>
          <w:sz w:val="22"/>
          <w:szCs w:val="22"/>
        </w:rPr>
        <w:tab/>
      </w:r>
      <w:r w:rsidRPr="00090AE9">
        <w:rPr>
          <w:sz w:val="22"/>
          <w:szCs w:val="22"/>
        </w:rPr>
        <w:t>)</w:t>
      </w:r>
      <w:r w:rsidRPr="00090AE9">
        <w:rPr>
          <w:sz w:val="22"/>
          <w:szCs w:val="22"/>
        </w:rPr>
        <w:tab/>
      </w:r>
    </w:p>
    <w:p w:rsidR="000D5C83" w:rsidRPr="00090AE9" w:rsidP="005F6D21" w14:paraId="03127E40" w14:textId="4DF0E471">
      <w:pPr>
        <w:tabs>
          <w:tab w:val="left" w:pos="4680"/>
          <w:tab w:val="left" w:pos="5580"/>
          <w:tab w:val="left" w:pos="6570"/>
        </w:tabs>
        <w:spacing w:line="226" w:lineRule="auto"/>
        <w:rPr>
          <w:sz w:val="22"/>
          <w:szCs w:val="22"/>
        </w:rPr>
      </w:pPr>
      <w:r w:rsidRPr="00090AE9">
        <w:rPr>
          <w:sz w:val="22"/>
          <w:szCs w:val="22"/>
        </w:rPr>
        <w:t xml:space="preserve">Licensee of </w:t>
      </w:r>
      <w:r w:rsidRPr="00090AE9" w:rsidR="005B60F7">
        <w:rPr>
          <w:sz w:val="22"/>
          <w:szCs w:val="22"/>
        </w:rPr>
        <w:t>Radio Station</w:t>
      </w:r>
      <w:r w:rsidRPr="00090AE9">
        <w:rPr>
          <w:sz w:val="22"/>
          <w:szCs w:val="22"/>
        </w:rPr>
        <w:t xml:space="preserve"> </w:t>
      </w:r>
      <w:r w:rsidRPr="00090AE9" w:rsidR="00035FD8">
        <w:rPr>
          <w:sz w:val="22"/>
          <w:szCs w:val="22"/>
        </w:rPr>
        <w:t>WLLL</w:t>
      </w:r>
      <w:r w:rsidRPr="00090AE9">
        <w:rPr>
          <w:sz w:val="22"/>
          <w:szCs w:val="22"/>
        </w:rPr>
        <w:tab/>
        <w:t>)</w:t>
      </w:r>
    </w:p>
    <w:p w:rsidR="00E2591A" w:rsidRPr="00090AE9" w:rsidP="005F6D21" w14:paraId="384062F2" w14:textId="49D6BA89">
      <w:pPr>
        <w:tabs>
          <w:tab w:val="left" w:pos="4680"/>
          <w:tab w:val="left" w:pos="5580"/>
          <w:tab w:val="left" w:pos="6570"/>
        </w:tabs>
        <w:spacing w:line="226" w:lineRule="auto"/>
        <w:jc w:val="both"/>
        <w:rPr>
          <w:sz w:val="22"/>
          <w:szCs w:val="22"/>
        </w:rPr>
      </w:pPr>
      <w:r w:rsidRPr="00090AE9">
        <w:rPr>
          <w:sz w:val="22"/>
          <w:szCs w:val="22"/>
        </w:rPr>
        <w:t xml:space="preserve">Facility ID </w:t>
      </w:r>
      <w:r w:rsidRPr="00090AE9" w:rsidR="004908B4">
        <w:rPr>
          <w:sz w:val="22"/>
          <w:szCs w:val="22"/>
        </w:rPr>
        <w:t xml:space="preserve">No. </w:t>
      </w:r>
      <w:r w:rsidRPr="00090AE9" w:rsidR="00035FD8">
        <w:rPr>
          <w:sz w:val="22"/>
          <w:szCs w:val="22"/>
        </w:rPr>
        <w:t>17409</w:t>
      </w:r>
      <w:r w:rsidRPr="00090AE9">
        <w:rPr>
          <w:sz w:val="22"/>
          <w:szCs w:val="22"/>
        </w:rPr>
        <w:tab/>
        <w:t>)</w:t>
      </w:r>
    </w:p>
    <w:p w:rsidR="00E2591A" w:rsidRPr="00090AE9" w:rsidP="005F6D21" w14:paraId="1398A26E" w14:textId="68C033B8">
      <w:pPr>
        <w:tabs>
          <w:tab w:val="left" w:pos="4680"/>
          <w:tab w:val="left" w:pos="5580"/>
          <w:tab w:val="left" w:pos="6570"/>
        </w:tabs>
        <w:spacing w:line="226" w:lineRule="auto"/>
        <w:jc w:val="both"/>
        <w:rPr>
          <w:sz w:val="22"/>
          <w:szCs w:val="22"/>
        </w:rPr>
      </w:pPr>
      <w:r w:rsidRPr="00090AE9">
        <w:rPr>
          <w:sz w:val="22"/>
          <w:szCs w:val="22"/>
        </w:rPr>
        <w:tab/>
        <w:t>)</w:t>
      </w:r>
    </w:p>
    <w:p w:rsidR="00320391" w:rsidRPr="00090AE9" w:rsidP="005F6D21" w14:paraId="17AD9FA9" w14:textId="1BEEB5E6">
      <w:pPr>
        <w:tabs>
          <w:tab w:val="left" w:pos="4680"/>
          <w:tab w:val="left" w:pos="5580"/>
          <w:tab w:val="left" w:pos="6570"/>
        </w:tabs>
        <w:spacing w:line="226" w:lineRule="auto"/>
        <w:jc w:val="both"/>
        <w:rPr>
          <w:sz w:val="22"/>
          <w:szCs w:val="22"/>
        </w:rPr>
      </w:pPr>
      <w:r w:rsidRPr="00090AE9">
        <w:rPr>
          <w:sz w:val="22"/>
          <w:szCs w:val="22"/>
        </w:rPr>
        <w:t>Antenna Structure Registrant</w:t>
      </w:r>
      <w:r w:rsidRPr="00090AE9">
        <w:rPr>
          <w:sz w:val="22"/>
          <w:szCs w:val="22"/>
        </w:rPr>
        <w:tab/>
      </w:r>
      <w:r w:rsidRPr="00090AE9">
        <w:rPr>
          <w:sz w:val="22"/>
          <w:szCs w:val="22"/>
        </w:rPr>
        <w:t>)</w:t>
      </w:r>
    </w:p>
    <w:p w:rsidR="00E2591A" w:rsidRPr="00090AE9" w:rsidP="005F6D21" w14:paraId="2FC506C8" w14:textId="32D66ADC">
      <w:pPr>
        <w:tabs>
          <w:tab w:val="left" w:pos="4680"/>
          <w:tab w:val="left" w:pos="5580"/>
          <w:tab w:val="left" w:pos="6570"/>
        </w:tabs>
        <w:spacing w:line="226" w:lineRule="auto"/>
        <w:jc w:val="both"/>
        <w:rPr>
          <w:sz w:val="22"/>
          <w:szCs w:val="22"/>
        </w:rPr>
      </w:pPr>
      <w:r w:rsidRPr="00090AE9">
        <w:rPr>
          <w:sz w:val="22"/>
          <w:szCs w:val="22"/>
        </w:rPr>
        <w:t xml:space="preserve">ASR </w:t>
      </w:r>
      <w:r w:rsidRPr="00090AE9" w:rsidR="004908B4">
        <w:rPr>
          <w:sz w:val="22"/>
          <w:szCs w:val="22"/>
        </w:rPr>
        <w:t>No</w:t>
      </w:r>
      <w:r w:rsidRPr="00090AE9">
        <w:rPr>
          <w:sz w:val="22"/>
          <w:szCs w:val="22"/>
        </w:rPr>
        <w:t>s</w:t>
      </w:r>
      <w:r w:rsidRPr="00090AE9" w:rsidR="004908B4">
        <w:rPr>
          <w:sz w:val="22"/>
          <w:szCs w:val="22"/>
        </w:rPr>
        <w:t>.</w:t>
      </w:r>
      <w:r w:rsidRPr="00090AE9">
        <w:rPr>
          <w:sz w:val="22"/>
          <w:szCs w:val="22"/>
        </w:rPr>
        <w:t xml:space="preserve"> </w:t>
      </w:r>
      <w:r w:rsidRPr="00090AE9" w:rsidR="00035FD8">
        <w:rPr>
          <w:sz w:val="22"/>
          <w:szCs w:val="22"/>
        </w:rPr>
        <w:t>1016649</w:t>
      </w:r>
      <w:r w:rsidRPr="00090AE9">
        <w:rPr>
          <w:sz w:val="22"/>
          <w:szCs w:val="22"/>
        </w:rPr>
        <w:tab/>
        <w:t>)</w:t>
      </w:r>
    </w:p>
    <w:p w:rsidR="000D5C83" w:rsidRPr="00090AE9" w:rsidP="005F6D21" w14:paraId="77820855" w14:textId="7AD2C9B8">
      <w:pPr>
        <w:tabs>
          <w:tab w:val="left" w:pos="4680"/>
          <w:tab w:val="left" w:pos="5580"/>
          <w:tab w:val="left" w:pos="6570"/>
        </w:tabs>
        <w:spacing w:line="226" w:lineRule="auto"/>
        <w:jc w:val="both"/>
        <w:rPr>
          <w:sz w:val="22"/>
          <w:szCs w:val="22"/>
        </w:rPr>
      </w:pPr>
      <w:r w:rsidRPr="00090AE9">
        <w:rPr>
          <w:sz w:val="22"/>
          <w:szCs w:val="22"/>
        </w:rPr>
        <w:tab/>
        <w:t xml:space="preserve">) </w:t>
      </w:r>
      <w:r w:rsidRPr="00090AE9">
        <w:rPr>
          <w:sz w:val="22"/>
          <w:szCs w:val="22"/>
        </w:rPr>
        <w:tab/>
      </w:r>
    </w:p>
    <w:p w:rsidR="000D5C83" w:rsidRPr="00090AE9" w:rsidP="005F6D21" w14:paraId="52868FBA" w14:textId="47DD6158">
      <w:pPr>
        <w:tabs>
          <w:tab w:val="left" w:pos="4680"/>
          <w:tab w:val="left" w:pos="5580"/>
          <w:tab w:val="left" w:pos="6570"/>
        </w:tabs>
        <w:spacing w:line="226" w:lineRule="auto"/>
        <w:jc w:val="both"/>
        <w:rPr>
          <w:sz w:val="22"/>
          <w:szCs w:val="22"/>
        </w:rPr>
      </w:pPr>
      <w:r w:rsidRPr="00090AE9">
        <w:rPr>
          <w:sz w:val="22"/>
          <w:szCs w:val="22"/>
        </w:rPr>
        <w:t>Lynchburg, Virginia</w:t>
      </w:r>
      <w:r w:rsidRPr="00090AE9">
        <w:rPr>
          <w:sz w:val="22"/>
          <w:szCs w:val="22"/>
        </w:rPr>
        <w:tab/>
        <w:t>)</w:t>
      </w:r>
      <w:r w:rsidRPr="00090AE9">
        <w:rPr>
          <w:sz w:val="22"/>
          <w:szCs w:val="22"/>
        </w:rPr>
        <w:tab/>
      </w:r>
    </w:p>
    <w:p w:rsidR="000D5C83" w:rsidRPr="00090AE9" w:rsidP="005F6D21" w14:paraId="5C2920B0" w14:textId="6ABF5E77">
      <w:pPr>
        <w:pStyle w:val="BodyText2"/>
        <w:tabs>
          <w:tab w:val="left" w:pos="4680"/>
          <w:tab w:val="left" w:pos="5580"/>
          <w:tab w:val="left" w:pos="6570"/>
        </w:tabs>
        <w:spacing w:line="226" w:lineRule="auto"/>
        <w:rPr>
          <w:szCs w:val="22"/>
        </w:rPr>
      </w:pPr>
      <w:r w:rsidRPr="00090AE9">
        <w:rPr>
          <w:szCs w:val="22"/>
        </w:rPr>
        <w:tab/>
      </w:r>
      <w:r w:rsidRPr="00090AE9">
        <w:rPr>
          <w:szCs w:val="22"/>
        </w:rPr>
        <w:tab/>
      </w:r>
      <w:r w:rsidRPr="00090AE9">
        <w:rPr>
          <w:color w:val="FF0000"/>
          <w:szCs w:val="22"/>
        </w:rPr>
        <w:tab/>
      </w:r>
      <w:r w:rsidRPr="00090AE9">
        <w:rPr>
          <w:color w:val="FF0000"/>
          <w:szCs w:val="22"/>
        </w:rPr>
        <w:tab/>
      </w:r>
      <w:r w:rsidRPr="00090AE9">
        <w:rPr>
          <w:color w:val="000000"/>
          <w:szCs w:val="22"/>
        </w:rPr>
        <w:tab/>
      </w:r>
      <w:r w:rsidRPr="00090AE9">
        <w:rPr>
          <w:color w:val="000000"/>
          <w:szCs w:val="22"/>
        </w:rPr>
        <w:tab/>
      </w:r>
    </w:p>
    <w:p w:rsidR="000D5C83" w:rsidRPr="00090AE9" w:rsidP="005F6D21" w14:paraId="0E2ED6C4" w14:textId="55D62ABE">
      <w:pPr>
        <w:tabs>
          <w:tab w:val="center" w:pos="4680"/>
          <w:tab w:val="left" w:pos="5760"/>
        </w:tabs>
        <w:spacing w:line="226" w:lineRule="auto"/>
        <w:jc w:val="both"/>
        <w:rPr>
          <w:sz w:val="22"/>
          <w:szCs w:val="22"/>
        </w:rPr>
      </w:pPr>
      <w:r w:rsidRPr="00090AE9">
        <w:rPr>
          <w:sz w:val="22"/>
          <w:szCs w:val="22"/>
        </w:rPr>
        <w:tab/>
      </w:r>
    </w:p>
    <w:p w:rsidR="000D5C83" w:rsidRPr="00090AE9" w:rsidP="005F6D21" w14:paraId="35F1CA76" w14:textId="77777777">
      <w:pPr>
        <w:pStyle w:val="Title"/>
        <w:tabs>
          <w:tab w:val="left" w:pos="5760"/>
        </w:tabs>
        <w:rPr>
          <w:sz w:val="22"/>
          <w:szCs w:val="22"/>
        </w:rPr>
      </w:pPr>
      <w:r w:rsidRPr="00090AE9">
        <w:rPr>
          <w:sz w:val="22"/>
          <w:szCs w:val="22"/>
        </w:rPr>
        <w:t>NOTICE OF VIOLATION</w:t>
      </w:r>
    </w:p>
    <w:p w:rsidR="000D5C83" w:rsidRPr="00090AE9" w:rsidP="005F6D21" w14:paraId="17F0DF9F" w14:textId="77777777">
      <w:pPr>
        <w:pStyle w:val="Subtitle"/>
        <w:jc w:val="left"/>
        <w:rPr>
          <w:szCs w:val="22"/>
        </w:rPr>
      </w:pPr>
    </w:p>
    <w:p w:rsidR="000D5C83" w:rsidRPr="00090AE9" w:rsidP="005F6D21" w14:paraId="0EBF8692" w14:textId="37A9B0F1">
      <w:pPr>
        <w:pStyle w:val="Subtitle"/>
        <w:jc w:val="left"/>
        <w:rPr>
          <w:szCs w:val="22"/>
        </w:rPr>
      </w:pPr>
      <w:r w:rsidRPr="00090AE9">
        <w:rPr>
          <w:szCs w:val="22"/>
        </w:rPr>
        <w:tab/>
        <w:t xml:space="preserve">Released: </w:t>
      </w:r>
      <w:r w:rsidRPr="00090AE9" w:rsidR="005207DD">
        <w:rPr>
          <w:szCs w:val="22"/>
        </w:rPr>
        <w:t>March</w:t>
      </w:r>
      <w:r w:rsidR="005A6BE8">
        <w:rPr>
          <w:szCs w:val="22"/>
        </w:rPr>
        <w:t xml:space="preserve"> 5</w:t>
      </w:r>
      <w:r w:rsidRPr="00090AE9" w:rsidR="00182C8B">
        <w:rPr>
          <w:szCs w:val="22"/>
        </w:rPr>
        <w:t>, 2019</w:t>
      </w:r>
    </w:p>
    <w:p w:rsidR="000D5C83" w:rsidRPr="00090AE9" w:rsidP="008E3BA9" w14:paraId="649A3E2B" w14:textId="77777777">
      <w:pPr>
        <w:pStyle w:val="Subtitle"/>
        <w:jc w:val="left"/>
        <w:rPr>
          <w:szCs w:val="22"/>
        </w:rPr>
      </w:pPr>
    </w:p>
    <w:p w:rsidR="008E3BA9" w:rsidP="008E3BA9" w14:paraId="04F12609" w14:textId="77777777">
      <w:pPr>
        <w:pStyle w:val="ParaNum"/>
        <w:spacing w:after="0"/>
        <w:rPr>
          <w:szCs w:val="22"/>
        </w:rPr>
      </w:pPr>
      <w:r w:rsidRPr="00090AE9">
        <w:rPr>
          <w:szCs w:val="22"/>
        </w:rPr>
        <w:t>By the Regional Director, Region One, Enforcement Bureau:</w:t>
      </w:r>
      <w:bookmarkStart w:id="0" w:name="_Hlk521663280"/>
      <w:r>
        <w:rPr>
          <w:szCs w:val="22"/>
        </w:rPr>
        <w:t xml:space="preserve"> </w:t>
      </w:r>
    </w:p>
    <w:p w:rsidR="008E3BA9" w:rsidRPr="008E3BA9" w:rsidP="008E3BA9" w14:paraId="4A5C5874" w14:textId="77777777">
      <w:pPr>
        <w:pStyle w:val="ParaNum"/>
        <w:spacing w:after="0"/>
      </w:pPr>
    </w:p>
    <w:p w:rsidR="007D46FC" w:rsidP="008E3BA9" w14:paraId="0A46104C" w14:textId="324CE0E4">
      <w:pPr>
        <w:pStyle w:val="ParaNum"/>
        <w:numPr>
          <w:ilvl w:val="0"/>
          <w:numId w:val="1"/>
        </w:numPr>
        <w:spacing w:after="0"/>
        <w:ind w:left="0" w:firstLine="720"/>
      </w:pPr>
      <w:r w:rsidRPr="007D46FC">
        <w:t>This is a Notice of Violation (Notice) issued pursuant to Section 1.89 of the Commission’s rules</w:t>
      </w:r>
      <w:r>
        <w:rPr>
          <w:vertAlign w:val="superscript"/>
        </w:rPr>
        <w:footnoteReference w:id="2"/>
      </w:r>
      <w:r w:rsidRPr="007D46FC">
        <w:t xml:space="preserve"> to </w:t>
      </w:r>
      <w:r w:rsidRPr="007D46FC" w:rsidR="00035FD8">
        <w:t>Hubbard’s Advertising Agency, Inc.</w:t>
      </w:r>
      <w:r w:rsidRPr="007D46FC" w:rsidR="00701309">
        <w:t xml:space="preserve"> </w:t>
      </w:r>
      <w:r w:rsidRPr="007D46FC" w:rsidR="005F408D">
        <w:t>(</w:t>
      </w:r>
      <w:r w:rsidRPr="007D46FC" w:rsidR="00035FD8">
        <w:t>Hubbard’s Advertising</w:t>
      </w:r>
      <w:r w:rsidRPr="007D46FC">
        <w:t xml:space="preserve">), </w:t>
      </w:r>
      <w:r w:rsidRPr="007D46FC" w:rsidR="00701309">
        <w:t>licensee</w:t>
      </w:r>
      <w:r w:rsidRPr="007D46FC">
        <w:t xml:space="preserve"> of </w:t>
      </w:r>
      <w:r w:rsidRPr="007D46FC" w:rsidR="005F408D">
        <w:t xml:space="preserve">the </w:t>
      </w:r>
      <w:r w:rsidRPr="007D46FC" w:rsidR="00035FD8">
        <w:t>AM</w:t>
      </w:r>
      <w:r w:rsidRPr="007D46FC" w:rsidR="005F408D">
        <w:t xml:space="preserve"> </w:t>
      </w:r>
      <w:r w:rsidRPr="007D46FC" w:rsidR="00320391">
        <w:t xml:space="preserve">station </w:t>
      </w:r>
      <w:r w:rsidRPr="007D46FC" w:rsidR="00035FD8">
        <w:t>WLLL</w:t>
      </w:r>
      <w:r w:rsidRPr="007D46FC" w:rsidR="00D0357B">
        <w:t xml:space="preserve"> </w:t>
      </w:r>
      <w:r w:rsidRPr="007D46FC" w:rsidR="00E2591A">
        <w:t xml:space="preserve">and owner of antenna </w:t>
      </w:r>
      <w:r w:rsidRPr="007D46FC" w:rsidR="00347258">
        <w:t>structure</w:t>
      </w:r>
      <w:r w:rsidRPr="007D46FC" w:rsidR="00E2591A">
        <w:t xml:space="preserve"> </w:t>
      </w:r>
      <w:r w:rsidRPr="007D46FC" w:rsidR="00035FD8">
        <w:t>1016649</w:t>
      </w:r>
      <w:r w:rsidRPr="007D46FC" w:rsidR="00B967E1">
        <w:t xml:space="preserve"> in </w:t>
      </w:r>
      <w:r w:rsidRPr="007D46FC" w:rsidR="00035FD8">
        <w:t>Lynchburg, Virginia</w:t>
      </w:r>
      <w:r w:rsidRPr="007D46FC">
        <w:t xml:space="preserve">.  Pursuant to Section 1.89(a) of the </w:t>
      </w:r>
      <w:r w:rsidRPr="007D46FC" w:rsidR="001F3147">
        <w:t>Commission’s rules</w:t>
      </w:r>
      <w:r w:rsidRPr="007D46FC">
        <w:t>, issuance of this Notice does not preclude the Enforcement Bureau from further action if warranted, including issuing a Notice of Apparent Liability for Forfeiture for the violations noted herein</w:t>
      </w:r>
      <w:bookmarkEnd w:id="0"/>
      <w:r w:rsidRPr="007D46FC">
        <w:t>.</w:t>
      </w:r>
      <w:r>
        <w:rPr>
          <w:vertAlign w:val="superscript"/>
        </w:rPr>
        <w:footnoteReference w:id="3"/>
      </w:r>
    </w:p>
    <w:p w:rsidR="008E3BA9" w:rsidRPr="008E3BA9" w:rsidP="008E3BA9" w14:paraId="0F84FF6B" w14:textId="77777777">
      <w:pPr>
        <w:pStyle w:val="ParaNum"/>
        <w:spacing w:after="0"/>
        <w:ind w:left="720"/>
      </w:pPr>
    </w:p>
    <w:p w:rsidR="00320391" w:rsidP="008E3BA9" w14:paraId="095FB6BB" w14:textId="00CB33B3">
      <w:pPr>
        <w:pStyle w:val="ParaNum"/>
        <w:numPr>
          <w:ilvl w:val="0"/>
          <w:numId w:val="1"/>
        </w:numPr>
        <w:spacing w:after="0"/>
        <w:ind w:left="0" w:firstLine="720"/>
      </w:pPr>
      <w:r w:rsidRPr="007D46FC">
        <w:t xml:space="preserve">On </w:t>
      </w:r>
      <w:r w:rsidRPr="007D46FC" w:rsidR="00347258">
        <w:t>November 19, 2018 and November 20, 2018</w:t>
      </w:r>
      <w:r w:rsidRPr="007D46FC" w:rsidR="006621FA">
        <w:t xml:space="preserve">, </w:t>
      </w:r>
      <w:r w:rsidRPr="007D46FC" w:rsidR="001D42E9">
        <w:t>a</w:t>
      </w:r>
      <w:r w:rsidRPr="007D46FC" w:rsidR="00347258">
        <w:t>n Agent</w:t>
      </w:r>
      <w:r w:rsidRPr="007D46FC" w:rsidR="000D5C83">
        <w:t xml:space="preserve"> of the En</w:t>
      </w:r>
      <w:r w:rsidRPr="007D46FC" w:rsidR="00975596">
        <w:t xml:space="preserve">forcement Bureau’s Region </w:t>
      </w:r>
      <w:r w:rsidRPr="007D46FC" w:rsidR="006621FA">
        <w:t xml:space="preserve">One </w:t>
      </w:r>
      <w:r w:rsidRPr="007D46FC" w:rsidR="00356E24">
        <w:t xml:space="preserve">district </w:t>
      </w:r>
      <w:r w:rsidRPr="007D46FC">
        <w:t xml:space="preserve">inspected </w:t>
      </w:r>
      <w:r w:rsidRPr="007D46FC" w:rsidR="00035FD8">
        <w:t>AM</w:t>
      </w:r>
      <w:r w:rsidRPr="007D46FC">
        <w:t xml:space="preserve"> station </w:t>
      </w:r>
      <w:r w:rsidRPr="007D46FC" w:rsidR="00035FD8">
        <w:t>WLLL</w:t>
      </w:r>
      <w:r w:rsidRPr="007D46FC">
        <w:t xml:space="preserve"> and </w:t>
      </w:r>
      <w:r w:rsidRPr="007D46FC" w:rsidR="00347258">
        <w:t xml:space="preserve">its </w:t>
      </w:r>
      <w:r w:rsidRPr="007D46FC">
        <w:t xml:space="preserve">Antenna </w:t>
      </w:r>
      <w:r w:rsidRPr="007D46FC" w:rsidR="00347258">
        <w:t>Structure</w:t>
      </w:r>
      <w:r w:rsidRPr="007D46FC">
        <w:t xml:space="preserve"> </w:t>
      </w:r>
      <w:r w:rsidRPr="007D46FC" w:rsidR="00035FD8">
        <w:t>1016649</w:t>
      </w:r>
      <w:r w:rsidRPr="007D46FC">
        <w:t>.  During the inspection</w:t>
      </w:r>
      <w:r w:rsidRPr="007D46FC" w:rsidR="009D0BE6">
        <w:t>s</w:t>
      </w:r>
      <w:r w:rsidRPr="007D46FC">
        <w:t xml:space="preserve">, the </w:t>
      </w:r>
      <w:r w:rsidRPr="007D46FC" w:rsidR="00347258">
        <w:t>Agent</w:t>
      </w:r>
      <w:r w:rsidRPr="007D46FC">
        <w:t xml:space="preserve"> </w:t>
      </w:r>
      <w:r w:rsidRPr="007D46FC" w:rsidR="000D5C83">
        <w:t>observed the following violation</w:t>
      </w:r>
      <w:r w:rsidRPr="007D46FC" w:rsidR="00F02974">
        <w:t>s</w:t>
      </w:r>
      <w:r w:rsidRPr="007D46FC" w:rsidR="000D5C83">
        <w:t>:</w:t>
      </w:r>
    </w:p>
    <w:p w:rsidR="008E3BA9" w:rsidRPr="007227E6" w:rsidP="008E3BA9" w14:paraId="7C4755C1" w14:textId="77777777">
      <w:pPr>
        <w:pStyle w:val="ParaNum"/>
        <w:spacing w:after="0"/>
      </w:pPr>
    </w:p>
    <w:p w:rsidR="007F6B5B" w:rsidRPr="008E3BA9" w:rsidP="008E3BA9" w14:paraId="06EF4055" w14:textId="52D63119">
      <w:pPr>
        <w:widowControl w:val="0"/>
        <w:numPr>
          <w:ilvl w:val="1"/>
          <w:numId w:val="1"/>
        </w:numPr>
        <w:tabs>
          <w:tab w:val="clear" w:pos="3240"/>
        </w:tabs>
        <w:ind w:left="1440" w:right="450" w:hanging="720"/>
        <w:rPr>
          <w:snapToGrid w:val="0"/>
          <w:kern w:val="28"/>
          <w:sz w:val="22"/>
        </w:rPr>
      </w:pPr>
      <w:r w:rsidRPr="008E3BA9">
        <w:rPr>
          <w:snapToGrid w:val="0"/>
          <w:kern w:val="28"/>
          <w:sz w:val="22"/>
        </w:rPr>
        <w:t xml:space="preserve">47 C.F.R. § 11.35(a): “EAS Participants are responsible for ensuring that EAS Encoders, EAS Decoders, Attention Signal generating and receiving equipment, and Intermediate Devices used as part of the EAS to decode and/or encode messages formatted in the EAS Protocol and/or the Common Alerting Protocol are installed so that the monitoring and transmitting functions are available during the times the stations and systems are in operation. </w:t>
      </w:r>
      <w:r w:rsidRPr="008E3BA9" w:rsidR="006728ED">
        <w:rPr>
          <w:snapToGrid w:val="0"/>
          <w:kern w:val="28"/>
          <w:sz w:val="22"/>
        </w:rPr>
        <w:t xml:space="preserve"> </w:t>
      </w:r>
      <w:r w:rsidRPr="008E3BA9">
        <w:rPr>
          <w:snapToGrid w:val="0"/>
          <w:kern w:val="28"/>
          <w:sz w:val="22"/>
        </w:rPr>
        <w:t>Additionally, EAS Participants must determine the cause of any failure to receive the required tests or activations specified in §11.61(a)(1) and (2). … All other EAS Participants must also keep records indicating reasons why any tests were not received, and these records must be retained for two years, maintained at the EAS Participant's headquarters, and made available for public inspection upon reasonable request.”</w:t>
      </w:r>
      <w:r w:rsidRPr="008E3BA9" w:rsidR="006728ED">
        <w:rPr>
          <w:snapToGrid w:val="0"/>
          <w:kern w:val="28"/>
          <w:sz w:val="22"/>
        </w:rPr>
        <w:t xml:space="preserve"> </w:t>
      </w:r>
      <w:r w:rsidRPr="008E3BA9">
        <w:rPr>
          <w:snapToGrid w:val="0"/>
          <w:kern w:val="28"/>
          <w:sz w:val="22"/>
        </w:rPr>
        <w:t xml:space="preserve"> At the time of the </w:t>
      </w:r>
      <w:r w:rsidRPr="008E3BA9" w:rsidR="001D42E9">
        <w:rPr>
          <w:snapToGrid w:val="0"/>
          <w:kern w:val="28"/>
          <w:sz w:val="22"/>
        </w:rPr>
        <w:t xml:space="preserve">station </w:t>
      </w:r>
      <w:r w:rsidRPr="008E3BA9">
        <w:rPr>
          <w:snapToGrid w:val="0"/>
          <w:kern w:val="28"/>
          <w:sz w:val="22"/>
        </w:rPr>
        <w:t>inspection</w:t>
      </w:r>
      <w:r w:rsidRPr="008E3BA9" w:rsidR="001D42E9">
        <w:rPr>
          <w:snapToGrid w:val="0"/>
          <w:kern w:val="28"/>
          <w:sz w:val="22"/>
        </w:rPr>
        <w:t xml:space="preserve"> on November 20, 2018</w:t>
      </w:r>
      <w:r w:rsidRPr="008E3BA9">
        <w:rPr>
          <w:snapToGrid w:val="0"/>
          <w:kern w:val="28"/>
          <w:sz w:val="22"/>
        </w:rPr>
        <w:t xml:space="preserve">, </w:t>
      </w:r>
      <w:r w:rsidRPr="008E3BA9">
        <w:rPr>
          <w:snapToGrid w:val="0"/>
          <w:kern w:val="28"/>
          <w:sz w:val="22"/>
        </w:rPr>
        <w:t>station personnel could not demonstrate to the Agent that the EAS equipment was operational.</w:t>
      </w:r>
    </w:p>
    <w:p w:rsidR="005F6D21" w:rsidP="008E3BA9" w14:paraId="518F8C5B" w14:textId="77777777">
      <w:pPr>
        <w:widowControl w:val="0"/>
        <w:ind w:left="1440" w:right="450" w:hanging="720"/>
        <w:rPr>
          <w:snapToGrid w:val="0"/>
          <w:kern w:val="28"/>
          <w:sz w:val="22"/>
        </w:rPr>
      </w:pPr>
    </w:p>
    <w:p w:rsidR="008E3BA9" w:rsidRPr="008E3BA9" w:rsidP="008E3BA9" w14:paraId="6995E793" w14:textId="77777777">
      <w:pPr>
        <w:widowControl w:val="0"/>
        <w:ind w:left="1440" w:right="450" w:hanging="720"/>
        <w:rPr>
          <w:snapToGrid w:val="0"/>
          <w:kern w:val="28"/>
          <w:sz w:val="22"/>
        </w:rPr>
      </w:pPr>
    </w:p>
    <w:p w:rsidR="005F6D21" w:rsidP="008E3BA9" w14:paraId="2143E406" w14:textId="4E72E387">
      <w:pPr>
        <w:widowControl w:val="0"/>
        <w:numPr>
          <w:ilvl w:val="1"/>
          <w:numId w:val="1"/>
        </w:numPr>
        <w:tabs>
          <w:tab w:val="clear" w:pos="3240"/>
        </w:tabs>
        <w:ind w:left="1440" w:right="450" w:hanging="720"/>
        <w:rPr>
          <w:snapToGrid w:val="0"/>
          <w:kern w:val="28"/>
          <w:sz w:val="22"/>
        </w:rPr>
      </w:pPr>
      <w:r w:rsidRPr="008E3BA9">
        <w:rPr>
          <w:snapToGrid w:val="0"/>
          <w:kern w:val="28"/>
          <w:sz w:val="22"/>
        </w:rPr>
        <w:t>47 C</w:t>
      </w:r>
      <w:r w:rsidR="00D21652">
        <w:rPr>
          <w:snapToGrid w:val="0"/>
          <w:kern w:val="28"/>
          <w:sz w:val="22"/>
        </w:rPr>
        <w:t>.</w:t>
      </w:r>
      <w:r w:rsidRPr="008E3BA9">
        <w:rPr>
          <w:snapToGrid w:val="0"/>
          <w:kern w:val="28"/>
          <w:sz w:val="22"/>
        </w:rPr>
        <w:t>F</w:t>
      </w:r>
      <w:r w:rsidR="00D21652">
        <w:rPr>
          <w:snapToGrid w:val="0"/>
          <w:kern w:val="28"/>
          <w:sz w:val="22"/>
        </w:rPr>
        <w:t>.</w:t>
      </w:r>
      <w:r w:rsidRPr="008E3BA9">
        <w:rPr>
          <w:snapToGrid w:val="0"/>
          <w:kern w:val="28"/>
          <w:sz w:val="22"/>
        </w:rPr>
        <w:t>R</w:t>
      </w:r>
      <w:r w:rsidR="00D21652">
        <w:rPr>
          <w:snapToGrid w:val="0"/>
          <w:kern w:val="28"/>
          <w:sz w:val="22"/>
        </w:rPr>
        <w:t>.</w:t>
      </w:r>
      <w:r w:rsidRPr="008E3BA9">
        <w:rPr>
          <w:snapToGrid w:val="0"/>
          <w:kern w:val="28"/>
          <w:sz w:val="22"/>
        </w:rPr>
        <w:t xml:space="preserve"> § 73.1820(a)(1)(iii): “</w:t>
      </w:r>
      <w:r w:rsidRPr="008E3BA9" w:rsidR="007F6B5B">
        <w:rPr>
          <w:snapToGrid w:val="0"/>
          <w:kern w:val="28"/>
          <w:sz w:val="22"/>
        </w:rPr>
        <w:t>Entries must be made in the station log either manually by a person designated by the licensee who is in actual charge of the transmitting apparatus, or by automatic devices meeting the requirements of paragraph (b) of this section…The following information must be entered.  A</w:t>
      </w:r>
      <w:r w:rsidRPr="008E3BA9">
        <w:rPr>
          <w:snapToGrid w:val="0"/>
          <w:kern w:val="28"/>
          <w:sz w:val="22"/>
        </w:rPr>
        <w:t xml:space="preserve">n entry of each test and activation of the Emergency Alert System (EAS) pursuant to the requirement </w:t>
      </w:r>
      <w:r w:rsidRPr="008E3BA9" w:rsidR="007F6B5B">
        <w:rPr>
          <w:snapToGrid w:val="0"/>
          <w:kern w:val="28"/>
          <w:sz w:val="22"/>
        </w:rPr>
        <w:t xml:space="preserve">of part 11 </w:t>
      </w:r>
      <w:r w:rsidRPr="008E3BA9">
        <w:rPr>
          <w:snapToGrid w:val="0"/>
          <w:kern w:val="28"/>
          <w:sz w:val="22"/>
        </w:rPr>
        <w:t xml:space="preserve">of this chapter and the EAS Operating Handbook. </w:t>
      </w:r>
      <w:r w:rsidRPr="00107DD2" w:rsidR="00107DD2">
        <w:rPr>
          <w:snapToGrid w:val="0"/>
          <w:kern w:val="28"/>
          <w:sz w:val="22"/>
        </w:rPr>
        <w:t xml:space="preserve"> </w:t>
      </w:r>
      <w:r w:rsidRPr="008E3BA9">
        <w:rPr>
          <w:snapToGrid w:val="0"/>
          <w:kern w:val="28"/>
          <w:sz w:val="22"/>
        </w:rPr>
        <w:t>Stations may keep EAS data in a special EAS log which shall be maintained at a convenient location; however, this log is considered a part of the station log.”</w:t>
      </w:r>
      <w:r w:rsidR="00107DD2">
        <w:rPr>
          <w:snapToGrid w:val="0"/>
          <w:kern w:val="28"/>
          <w:sz w:val="22"/>
        </w:rPr>
        <w:t xml:space="preserve"> </w:t>
      </w:r>
      <w:r w:rsidRPr="008E3BA9">
        <w:rPr>
          <w:snapToGrid w:val="0"/>
          <w:kern w:val="28"/>
          <w:sz w:val="22"/>
        </w:rPr>
        <w:t xml:space="preserve"> At the time of the inspection, there was no station log </w:t>
      </w:r>
      <w:r w:rsidRPr="008E3BA9" w:rsidR="00F72DA4">
        <w:rPr>
          <w:snapToGrid w:val="0"/>
          <w:kern w:val="28"/>
          <w:sz w:val="22"/>
        </w:rPr>
        <w:t>showing</w:t>
      </w:r>
      <w:r w:rsidRPr="008E3BA9">
        <w:rPr>
          <w:snapToGrid w:val="0"/>
          <w:kern w:val="28"/>
          <w:sz w:val="22"/>
        </w:rPr>
        <w:t xml:space="preserve"> entries of the </w:t>
      </w:r>
      <w:r w:rsidRPr="008E3BA9" w:rsidR="00F72DA4">
        <w:rPr>
          <w:snapToGrid w:val="0"/>
          <w:kern w:val="28"/>
          <w:sz w:val="22"/>
        </w:rPr>
        <w:t xml:space="preserve">EAS activations and tests including the </w:t>
      </w:r>
      <w:r w:rsidRPr="008E3BA9">
        <w:rPr>
          <w:snapToGrid w:val="0"/>
          <w:kern w:val="28"/>
          <w:sz w:val="22"/>
        </w:rPr>
        <w:t>required weekly or monthly EAS tests.</w:t>
      </w:r>
    </w:p>
    <w:p w:rsidR="008E3BA9" w:rsidRPr="008E3BA9" w:rsidP="008E3BA9" w14:paraId="36E1EEEF" w14:textId="77777777">
      <w:pPr>
        <w:widowControl w:val="0"/>
        <w:ind w:left="1440" w:right="450"/>
        <w:rPr>
          <w:snapToGrid w:val="0"/>
          <w:kern w:val="28"/>
          <w:sz w:val="22"/>
        </w:rPr>
      </w:pPr>
    </w:p>
    <w:p w:rsidR="005F6D21" w:rsidP="008E3BA9" w14:paraId="571F730D" w14:textId="06F5F38D">
      <w:pPr>
        <w:widowControl w:val="0"/>
        <w:numPr>
          <w:ilvl w:val="1"/>
          <w:numId w:val="1"/>
        </w:numPr>
        <w:tabs>
          <w:tab w:val="clear" w:pos="3240"/>
        </w:tabs>
        <w:ind w:left="1440" w:right="450" w:hanging="720"/>
        <w:rPr>
          <w:snapToGrid w:val="0"/>
          <w:kern w:val="28"/>
          <w:sz w:val="22"/>
        </w:rPr>
      </w:pPr>
      <w:r w:rsidRPr="008E3BA9">
        <w:rPr>
          <w:snapToGrid w:val="0"/>
          <w:kern w:val="28"/>
          <w:sz w:val="22"/>
        </w:rPr>
        <w:t>47 C.F.R. § 11.56: “Obligation to process [Common Alerting Protocol] CAP-formatted EAS messages.  (a) On or by June 30, 2012, EAS Participants must have deployed operational equipment that is capable of the following</w:t>
      </w:r>
      <w:r w:rsidRPr="008E3BA9" w:rsidR="006728ED">
        <w:rPr>
          <w:snapToGrid w:val="0"/>
          <w:kern w:val="28"/>
          <w:sz w:val="22"/>
        </w:rPr>
        <w:t>: (</w:t>
      </w:r>
      <w:r w:rsidRPr="008E3BA9">
        <w:rPr>
          <w:snapToGrid w:val="0"/>
          <w:kern w:val="28"/>
          <w:sz w:val="22"/>
        </w:rPr>
        <w:t xml:space="preserve">1) Acquiring EAS alert messages in accordance with the monitoring requirements in §11.52(d)(2); (2) </w:t>
      </w:r>
      <w:r w:rsidRPr="008E3BA9" w:rsidR="00945186">
        <w:rPr>
          <w:snapToGrid w:val="0"/>
          <w:kern w:val="28"/>
          <w:sz w:val="22"/>
        </w:rPr>
        <w:t>Converting EAS alert messages that have been formatted pursuant to the Organization for the Advancement of Structured Information Standards (OASIS) Common Alerting Protocol Version 1.2 (July 1, 2010), and Common Alerting Protocol, v. 1.2 USA Integrated Public Alert and Warning System Profile Version 1.0 (Oct. 13, 2009), into EAS alert messages that comply with the EAS Protocol</w:t>
      </w:r>
      <w:r w:rsidR="005D639C">
        <w:rPr>
          <w:snapToGrid w:val="0"/>
          <w:kern w:val="28"/>
          <w:sz w:val="22"/>
        </w:rPr>
        <w:t>…</w:t>
      </w:r>
      <w:r w:rsidRPr="008E3BA9" w:rsidR="00945186">
        <w:rPr>
          <w:snapToGrid w:val="0"/>
          <w:kern w:val="28"/>
          <w:sz w:val="22"/>
        </w:rPr>
        <w:t xml:space="preserve">”  </w:t>
      </w:r>
      <w:r w:rsidRPr="008E3BA9">
        <w:rPr>
          <w:snapToGrid w:val="0"/>
          <w:kern w:val="28"/>
          <w:sz w:val="22"/>
        </w:rPr>
        <w:t xml:space="preserve">During the </w:t>
      </w:r>
      <w:r w:rsidRPr="008E3BA9" w:rsidR="001D42E9">
        <w:rPr>
          <w:snapToGrid w:val="0"/>
          <w:kern w:val="28"/>
          <w:sz w:val="22"/>
        </w:rPr>
        <w:t xml:space="preserve">station </w:t>
      </w:r>
      <w:r w:rsidRPr="008E3BA9">
        <w:rPr>
          <w:snapToGrid w:val="0"/>
          <w:kern w:val="28"/>
          <w:sz w:val="22"/>
        </w:rPr>
        <w:t>inspection</w:t>
      </w:r>
      <w:r w:rsidRPr="008E3BA9" w:rsidR="001D42E9">
        <w:rPr>
          <w:snapToGrid w:val="0"/>
          <w:kern w:val="28"/>
          <w:sz w:val="22"/>
        </w:rPr>
        <w:t xml:space="preserve">, </w:t>
      </w:r>
      <w:r w:rsidRPr="008E3BA9" w:rsidR="00F72DA4">
        <w:rPr>
          <w:snapToGrid w:val="0"/>
          <w:kern w:val="28"/>
          <w:sz w:val="22"/>
        </w:rPr>
        <w:t xml:space="preserve">Station </w:t>
      </w:r>
      <w:r w:rsidRPr="008E3BA9">
        <w:rPr>
          <w:snapToGrid w:val="0"/>
          <w:kern w:val="28"/>
          <w:sz w:val="22"/>
        </w:rPr>
        <w:t>W</w:t>
      </w:r>
      <w:r w:rsidRPr="008E3BA9" w:rsidR="00B57E02">
        <w:rPr>
          <w:snapToGrid w:val="0"/>
          <w:kern w:val="28"/>
          <w:sz w:val="22"/>
        </w:rPr>
        <w:t>LLL</w:t>
      </w:r>
      <w:r w:rsidRPr="008E3BA9">
        <w:rPr>
          <w:snapToGrid w:val="0"/>
          <w:kern w:val="28"/>
          <w:sz w:val="22"/>
        </w:rPr>
        <w:t xml:space="preserve"> did not have the required CAP-formatted EAS equipment.</w:t>
      </w:r>
      <w:r>
        <w:rPr>
          <w:snapToGrid w:val="0"/>
          <w:kern w:val="28"/>
          <w:sz w:val="22"/>
          <w:vertAlign w:val="superscript"/>
        </w:rPr>
        <w:footnoteReference w:id="4"/>
      </w:r>
    </w:p>
    <w:p w:rsidR="008E3BA9" w:rsidRPr="008E3BA9" w:rsidP="008E3BA9" w14:paraId="14981C52" w14:textId="77777777">
      <w:pPr>
        <w:widowControl w:val="0"/>
        <w:ind w:right="450"/>
        <w:rPr>
          <w:snapToGrid w:val="0"/>
          <w:kern w:val="28"/>
          <w:sz w:val="22"/>
        </w:rPr>
      </w:pPr>
    </w:p>
    <w:p w:rsidR="00195E76" w:rsidP="008E3BA9" w14:paraId="59AC9E91" w14:textId="3B4DBDB5">
      <w:pPr>
        <w:widowControl w:val="0"/>
        <w:numPr>
          <w:ilvl w:val="1"/>
          <w:numId w:val="1"/>
        </w:numPr>
        <w:tabs>
          <w:tab w:val="clear" w:pos="3240"/>
        </w:tabs>
        <w:ind w:left="1440" w:right="450" w:hanging="720"/>
        <w:rPr>
          <w:snapToGrid w:val="0"/>
          <w:kern w:val="28"/>
          <w:sz w:val="22"/>
        </w:rPr>
      </w:pPr>
      <w:r w:rsidRPr="008E3BA9">
        <w:rPr>
          <w:snapToGrid w:val="0"/>
          <w:kern w:val="28"/>
          <w:sz w:val="22"/>
        </w:rPr>
        <w:t xml:space="preserve">47 C.F.R. § </w:t>
      </w:r>
      <w:r w:rsidRPr="008E3BA9">
        <w:rPr>
          <w:snapToGrid w:val="0"/>
          <w:kern w:val="28"/>
        </w:rPr>
        <w:t>17.4(g):  “</w:t>
      </w:r>
      <w:r w:rsidR="007E19DD">
        <w:rPr>
          <w:snapToGrid w:val="0"/>
          <w:kern w:val="28"/>
        </w:rPr>
        <w:t>[</w:t>
      </w:r>
      <w:r w:rsidRPr="008E3BA9">
        <w:rPr>
          <w:snapToGrid w:val="0"/>
          <w:kern w:val="28"/>
        </w:rPr>
        <w:t>T</w:t>
      </w:r>
      <w:r w:rsidR="007E19DD">
        <w:rPr>
          <w:snapToGrid w:val="0"/>
          <w:kern w:val="28"/>
        </w:rPr>
        <w:t>]</w:t>
      </w:r>
      <w:r w:rsidRPr="008E3BA9">
        <w:rPr>
          <w:snapToGrid w:val="0"/>
          <w:kern w:val="28"/>
          <w:sz w:val="22"/>
        </w:rPr>
        <w:t>he Antenna Structure Registration Number must be displayed so that it is conspicuously visible and legible from the publicly accessible area nearest the base of the antenna structure along the publicly accessible roadway or path.  Where an antenna structure is surrounded by a perimeter fence, or where the point of access includes an access gate, the Antenna Structure Registration Number should be posted on the perimeter fence or access gate</w:t>
      </w:r>
      <w:r w:rsidRPr="008E3BA9">
        <w:rPr>
          <w:snapToGrid w:val="0"/>
          <w:kern w:val="28"/>
          <w:sz w:val="22"/>
        </w:rPr>
        <w:t>…</w:t>
      </w:r>
      <w:r w:rsidRPr="008E3BA9">
        <w:rPr>
          <w:snapToGrid w:val="0"/>
          <w:kern w:val="28"/>
          <w:sz w:val="22"/>
        </w:rPr>
        <w:t>If the base of the antenna structure has more than one point of access, the Antenna Structure Registration Number must be posted so that it is visible at the publicly accessible area nearest each such point of access.</w:t>
      </w:r>
      <w:r w:rsidRPr="00107DD2" w:rsidR="00107DD2">
        <w:rPr>
          <w:snapToGrid w:val="0"/>
          <w:kern w:val="28"/>
          <w:sz w:val="22"/>
        </w:rPr>
        <w:t xml:space="preserve"> </w:t>
      </w:r>
      <w:r w:rsidRPr="008E3BA9">
        <w:rPr>
          <w:snapToGrid w:val="0"/>
          <w:kern w:val="28"/>
          <w:sz w:val="22"/>
        </w:rPr>
        <w:t xml:space="preserve"> Materials used to display the Antenna Structure Registration Number must be weather-resistant and of sufficient size to be easily seen where posted.”  At the time of the inspection, </w:t>
      </w:r>
      <w:r w:rsidRPr="008E3BA9">
        <w:rPr>
          <w:snapToGrid w:val="0"/>
          <w:kern w:val="28"/>
          <w:sz w:val="22"/>
        </w:rPr>
        <w:t>the Antenna Structure Registration Number (ASRN) 1016649 was not</w:t>
      </w:r>
      <w:r w:rsidRPr="008E3BA9">
        <w:rPr>
          <w:snapToGrid w:val="0"/>
          <w:kern w:val="28"/>
          <w:sz w:val="22"/>
        </w:rPr>
        <w:t xml:space="preserve"> visible at the closest publicly accessible location near the base of the antenna structure.</w:t>
      </w:r>
    </w:p>
    <w:p w:rsidR="008E3BA9" w:rsidRPr="008E3BA9" w:rsidP="008E3BA9" w14:paraId="0645B6B2" w14:textId="77777777">
      <w:pPr>
        <w:widowControl w:val="0"/>
        <w:ind w:right="450"/>
        <w:rPr>
          <w:snapToGrid w:val="0"/>
          <w:kern w:val="28"/>
          <w:sz w:val="22"/>
        </w:rPr>
      </w:pPr>
    </w:p>
    <w:p w:rsidR="005F6D21" w:rsidP="008E3BA9" w14:paraId="49C55D63" w14:textId="60E00C40">
      <w:pPr>
        <w:widowControl w:val="0"/>
        <w:numPr>
          <w:ilvl w:val="1"/>
          <w:numId w:val="1"/>
        </w:numPr>
        <w:tabs>
          <w:tab w:val="clear" w:pos="3240"/>
        </w:tabs>
        <w:ind w:left="1440" w:right="450" w:hanging="720"/>
        <w:rPr>
          <w:snapToGrid w:val="0"/>
          <w:kern w:val="28"/>
          <w:sz w:val="22"/>
        </w:rPr>
      </w:pPr>
      <w:r w:rsidRPr="008E3BA9">
        <w:rPr>
          <w:snapToGrid w:val="0"/>
          <w:kern w:val="28"/>
          <w:sz w:val="22"/>
        </w:rPr>
        <w:t>47 C</w:t>
      </w:r>
      <w:r w:rsidR="00D21652">
        <w:rPr>
          <w:snapToGrid w:val="0"/>
          <w:kern w:val="28"/>
          <w:sz w:val="22"/>
        </w:rPr>
        <w:t>.</w:t>
      </w:r>
      <w:r w:rsidRPr="008E3BA9">
        <w:rPr>
          <w:snapToGrid w:val="0"/>
          <w:kern w:val="28"/>
          <w:sz w:val="22"/>
        </w:rPr>
        <w:t>F</w:t>
      </w:r>
      <w:r w:rsidR="00D21652">
        <w:rPr>
          <w:snapToGrid w:val="0"/>
          <w:kern w:val="28"/>
          <w:sz w:val="22"/>
        </w:rPr>
        <w:t>.</w:t>
      </w:r>
      <w:r w:rsidRPr="008E3BA9">
        <w:rPr>
          <w:snapToGrid w:val="0"/>
          <w:kern w:val="28"/>
          <w:sz w:val="22"/>
        </w:rPr>
        <w:t>R</w:t>
      </w:r>
      <w:r w:rsidR="00D21652">
        <w:rPr>
          <w:snapToGrid w:val="0"/>
          <w:kern w:val="28"/>
          <w:sz w:val="22"/>
        </w:rPr>
        <w:t>.</w:t>
      </w:r>
      <w:r w:rsidRPr="008E3BA9">
        <w:rPr>
          <w:snapToGrid w:val="0"/>
          <w:kern w:val="28"/>
          <w:sz w:val="22"/>
        </w:rPr>
        <w:t xml:space="preserve"> § 17.23: “</w:t>
      </w:r>
      <w:r w:rsidR="009B30C5">
        <w:rPr>
          <w:snapToGrid w:val="0"/>
          <w:kern w:val="28"/>
          <w:sz w:val="22"/>
        </w:rPr>
        <w:t>[E]</w:t>
      </w:r>
      <w:r w:rsidRPr="008E3BA9">
        <w:rPr>
          <w:snapToGrid w:val="0"/>
          <w:kern w:val="28"/>
          <w:sz w:val="22"/>
        </w:rPr>
        <w:t xml:space="preserve">ach antenna structure must be painted and lighted in accordance with any painting and lighting requirements prescribed on the antenna structure's registration, or in accordance with any other specifications provided by the Commission.”  On November 19, 2018, at the time of inspection, which was after sunset and before dawn, the Agent observed that the top-level obstruction light on the antenna structure was not flashing and the required red steady-burning obstruction lighting at the mid-level of the structure </w:t>
      </w:r>
      <w:r w:rsidR="00D20952">
        <w:rPr>
          <w:snapToGrid w:val="0"/>
          <w:kern w:val="28"/>
          <w:sz w:val="22"/>
        </w:rPr>
        <w:t xml:space="preserve">was </w:t>
      </w:r>
      <w:r w:rsidRPr="008E3BA9">
        <w:rPr>
          <w:snapToGrid w:val="0"/>
          <w:kern w:val="28"/>
          <w:sz w:val="22"/>
        </w:rPr>
        <w:t>extinguished.</w:t>
      </w:r>
    </w:p>
    <w:p w:rsidR="008E3BA9" w:rsidP="008E3BA9" w14:paraId="7F7A9415" w14:textId="77777777">
      <w:pPr>
        <w:widowControl w:val="0"/>
        <w:ind w:right="450"/>
        <w:rPr>
          <w:snapToGrid w:val="0"/>
          <w:kern w:val="28"/>
          <w:sz w:val="22"/>
        </w:rPr>
      </w:pPr>
    </w:p>
    <w:p w:rsidR="008E3BA9" w:rsidP="008E3BA9" w14:paraId="0AC12CD9" w14:textId="77777777">
      <w:pPr>
        <w:widowControl w:val="0"/>
        <w:ind w:right="450"/>
        <w:rPr>
          <w:snapToGrid w:val="0"/>
          <w:kern w:val="28"/>
          <w:sz w:val="22"/>
        </w:rPr>
      </w:pPr>
    </w:p>
    <w:p w:rsidR="008E3BA9" w:rsidP="008E3BA9" w14:paraId="2FE23D13" w14:textId="77777777">
      <w:pPr>
        <w:widowControl w:val="0"/>
        <w:ind w:right="450"/>
        <w:rPr>
          <w:snapToGrid w:val="0"/>
          <w:kern w:val="28"/>
          <w:sz w:val="22"/>
        </w:rPr>
      </w:pPr>
    </w:p>
    <w:p w:rsidR="008E3BA9" w:rsidRPr="008E3BA9" w:rsidP="008E3BA9" w14:paraId="154DDD3E" w14:textId="77777777">
      <w:pPr>
        <w:widowControl w:val="0"/>
        <w:ind w:right="450"/>
        <w:rPr>
          <w:snapToGrid w:val="0"/>
          <w:kern w:val="28"/>
          <w:sz w:val="22"/>
        </w:rPr>
      </w:pPr>
    </w:p>
    <w:p w:rsidR="005F6D21" w:rsidP="008E3BA9" w14:paraId="3010AB2D" w14:textId="23C935F4">
      <w:pPr>
        <w:widowControl w:val="0"/>
        <w:numPr>
          <w:ilvl w:val="1"/>
          <w:numId w:val="1"/>
        </w:numPr>
        <w:tabs>
          <w:tab w:val="clear" w:pos="3240"/>
        </w:tabs>
        <w:ind w:left="1440" w:right="450" w:hanging="720"/>
        <w:rPr>
          <w:snapToGrid w:val="0"/>
          <w:kern w:val="28"/>
          <w:sz w:val="22"/>
        </w:rPr>
      </w:pPr>
      <w:r w:rsidRPr="008E3BA9">
        <w:rPr>
          <w:snapToGrid w:val="0"/>
          <w:kern w:val="28"/>
          <w:sz w:val="22"/>
        </w:rPr>
        <w:t>47 C</w:t>
      </w:r>
      <w:r w:rsidR="00D21652">
        <w:rPr>
          <w:snapToGrid w:val="0"/>
          <w:kern w:val="28"/>
          <w:sz w:val="22"/>
        </w:rPr>
        <w:t>.</w:t>
      </w:r>
      <w:r w:rsidRPr="008E3BA9">
        <w:rPr>
          <w:snapToGrid w:val="0"/>
          <w:kern w:val="28"/>
          <w:sz w:val="22"/>
        </w:rPr>
        <w:t>F</w:t>
      </w:r>
      <w:r w:rsidR="00D21652">
        <w:rPr>
          <w:snapToGrid w:val="0"/>
          <w:kern w:val="28"/>
          <w:sz w:val="22"/>
        </w:rPr>
        <w:t>.</w:t>
      </w:r>
      <w:r w:rsidRPr="008E3BA9">
        <w:rPr>
          <w:snapToGrid w:val="0"/>
          <w:kern w:val="28"/>
          <w:sz w:val="22"/>
        </w:rPr>
        <w:t>R</w:t>
      </w:r>
      <w:r w:rsidR="00D21652">
        <w:rPr>
          <w:snapToGrid w:val="0"/>
          <w:kern w:val="28"/>
          <w:sz w:val="22"/>
        </w:rPr>
        <w:t>.</w:t>
      </w:r>
      <w:r w:rsidRPr="008E3BA9">
        <w:rPr>
          <w:snapToGrid w:val="0"/>
          <w:kern w:val="28"/>
          <w:sz w:val="22"/>
        </w:rPr>
        <w:t xml:space="preserve"> § 17.48(a): “The owner of any antenna structure which is registered with the Commission and has been assigned lighting specifications referenced in this part …[s]hall report immediately to the FAA, by means acceptable to the FAA, any observed or otherwise known extinguishment or improper functioning of any top steady burning light or any flashing obstruction light, regardless of its position on the antenna structure, not corrected within 30 minutes</w:t>
      </w:r>
      <w:r w:rsidRPr="008E3BA9" w:rsidR="00E2591A">
        <w:rPr>
          <w:snapToGrid w:val="0"/>
          <w:kern w:val="28"/>
          <w:sz w:val="22"/>
        </w:rPr>
        <w:t xml:space="preserve">. </w:t>
      </w:r>
      <w:r w:rsidRPr="008E3BA9">
        <w:rPr>
          <w:snapToGrid w:val="0"/>
          <w:kern w:val="28"/>
          <w:sz w:val="22"/>
        </w:rPr>
        <w:t xml:space="preserve"> </w:t>
      </w:r>
      <w:r w:rsidRPr="008E3BA9" w:rsidR="00E2591A">
        <w:rPr>
          <w:snapToGrid w:val="0"/>
          <w:kern w:val="28"/>
          <w:sz w:val="22"/>
        </w:rPr>
        <w:t>If the lights cannot be repaired within the FAA's Notices to Airmen (NOTAM) period, the owner shall notify the FAA to extend the outage date and report a return-to-service date.”  At the time of the inspection on November 1</w:t>
      </w:r>
      <w:r w:rsidRPr="008E3BA9" w:rsidR="00323014">
        <w:rPr>
          <w:snapToGrid w:val="0"/>
          <w:kern w:val="28"/>
          <w:sz w:val="22"/>
        </w:rPr>
        <w:t>9</w:t>
      </w:r>
      <w:r w:rsidRPr="008E3BA9" w:rsidR="00E2591A">
        <w:rPr>
          <w:snapToGrid w:val="0"/>
          <w:kern w:val="28"/>
          <w:sz w:val="22"/>
        </w:rPr>
        <w:t xml:space="preserve">, 2018, the </w:t>
      </w:r>
      <w:r w:rsidRPr="008E3BA9" w:rsidR="009D0BE6">
        <w:rPr>
          <w:snapToGrid w:val="0"/>
          <w:kern w:val="28"/>
          <w:sz w:val="22"/>
        </w:rPr>
        <w:t>top-level</w:t>
      </w:r>
      <w:r w:rsidRPr="008E3BA9" w:rsidR="00E2591A">
        <w:rPr>
          <w:snapToGrid w:val="0"/>
          <w:kern w:val="28"/>
          <w:sz w:val="22"/>
        </w:rPr>
        <w:t xml:space="preserve"> flashing red </w:t>
      </w:r>
      <w:r w:rsidRPr="008E3BA9" w:rsidR="009D0BE6">
        <w:rPr>
          <w:snapToGrid w:val="0"/>
          <w:kern w:val="28"/>
          <w:sz w:val="22"/>
        </w:rPr>
        <w:t xml:space="preserve">beacon </w:t>
      </w:r>
      <w:r w:rsidRPr="008E3BA9" w:rsidR="00E2591A">
        <w:rPr>
          <w:snapToGrid w:val="0"/>
          <w:kern w:val="28"/>
          <w:sz w:val="22"/>
        </w:rPr>
        <w:t xml:space="preserve">on Antenna </w:t>
      </w:r>
      <w:r w:rsidRPr="008E3BA9" w:rsidR="00347258">
        <w:rPr>
          <w:snapToGrid w:val="0"/>
          <w:kern w:val="28"/>
          <w:sz w:val="22"/>
        </w:rPr>
        <w:t>Structure</w:t>
      </w:r>
      <w:r w:rsidRPr="008E3BA9" w:rsidR="00E2591A">
        <w:rPr>
          <w:snapToGrid w:val="0"/>
          <w:kern w:val="28"/>
          <w:sz w:val="22"/>
        </w:rPr>
        <w:t xml:space="preserve"> </w:t>
      </w:r>
      <w:r w:rsidRPr="008E3BA9" w:rsidR="00323014">
        <w:rPr>
          <w:snapToGrid w:val="0"/>
          <w:kern w:val="28"/>
          <w:sz w:val="22"/>
        </w:rPr>
        <w:t>1016649</w:t>
      </w:r>
      <w:r w:rsidRPr="008E3BA9" w:rsidR="00E2591A">
        <w:rPr>
          <w:snapToGrid w:val="0"/>
          <w:kern w:val="28"/>
          <w:sz w:val="22"/>
        </w:rPr>
        <w:t xml:space="preserve"> </w:t>
      </w:r>
      <w:r w:rsidRPr="008E3BA9" w:rsidR="00957AE1">
        <w:rPr>
          <w:snapToGrid w:val="0"/>
          <w:kern w:val="28"/>
          <w:sz w:val="22"/>
        </w:rPr>
        <w:t xml:space="preserve">was </w:t>
      </w:r>
      <w:r w:rsidRPr="008E3BA9" w:rsidR="00E2591A">
        <w:rPr>
          <w:snapToGrid w:val="0"/>
          <w:kern w:val="28"/>
          <w:sz w:val="22"/>
        </w:rPr>
        <w:t xml:space="preserve">extinguished.  </w:t>
      </w:r>
      <w:r w:rsidRPr="008E3BA9" w:rsidR="00326616">
        <w:rPr>
          <w:snapToGrid w:val="0"/>
          <w:kern w:val="28"/>
          <w:sz w:val="22"/>
        </w:rPr>
        <w:t xml:space="preserve">That same evening, the FCC agent contacted the </w:t>
      </w:r>
      <w:r w:rsidRPr="008E3BA9" w:rsidR="006912D5">
        <w:rPr>
          <w:snapToGrid w:val="0"/>
          <w:kern w:val="28"/>
          <w:sz w:val="22"/>
        </w:rPr>
        <w:t xml:space="preserve">FAA’s </w:t>
      </w:r>
      <w:r w:rsidRPr="008E3BA9" w:rsidR="00326616">
        <w:rPr>
          <w:snapToGrid w:val="0"/>
          <w:kern w:val="28"/>
          <w:sz w:val="22"/>
        </w:rPr>
        <w:t>National NOTAM Service Center and had a NOTAM issued for the tower lights.</w:t>
      </w:r>
      <w:r>
        <w:rPr>
          <w:snapToGrid w:val="0"/>
          <w:kern w:val="28"/>
          <w:sz w:val="22"/>
          <w:vertAlign w:val="superscript"/>
        </w:rPr>
        <w:footnoteReference w:id="5"/>
      </w:r>
      <w:r w:rsidRPr="008E3BA9" w:rsidR="00326616">
        <w:rPr>
          <w:snapToGrid w:val="0"/>
          <w:kern w:val="28"/>
          <w:sz w:val="22"/>
        </w:rPr>
        <w:t xml:space="preserve">  </w:t>
      </w:r>
      <w:r w:rsidRPr="008E3BA9" w:rsidR="00195E76">
        <w:rPr>
          <w:snapToGrid w:val="0"/>
          <w:kern w:val="28"/>
          <w:sz w:val="22"/>
        </w:rPr>
        <w:t>At</w:t>
      </w:r>
      <w:r w:rsidRPr="008E3BA9" w:rsidR="006912D5">
        <w:rPr>
          <w:snapToGrid w:val="0"/>
          <w:kern w:val="28"/>
          <w:sz w:val="22"/>
        </w:rPr>
        <w:t xml:space="preserve"> the time of the inspection, </w:t>
      </w:r>
      <w:r w:rsidRPr="008E3BA9" w:rsidR="00957AE1">
        <w:rPr>
          <w:snapToGrid w:val="0"/>
          <w:kern w:val="28"/>
          <w:sz w:val="22"/>
        </w:rPr>
        <w:t>Hubbard’s Advertising</w:t>
      </w:r>
      <w:r w:rsidRPr="008E3BA9" w:rsidR="006912D5">
        <w:rPr>
          <w:snapToGrid w:val="0"/>
          <w:kern w:val="28"/>
          <w:sz w:val="22"/>
        </w:rPr>
        <w:t xml:space="preserve"> technical director did not know that the obstruction lighting was extinguished</w:t>
      </w:r>
      <w:r w:rsidRPr="008E3BA9" w:rsidR="00195E76">
        <w:rPr>
          <w:snapToGrid w:val="0"/>
          <w:kern w:val="28"/>
          <w:sz w:val="22"/>
        </w:rPr>
        <w:t xml:space="preserve"> the previous evening,</w:t>
      </w:r>
      <w:r w:rsidRPr="008E3BA9" w:rsidR="006912D5">
        <w:rPr>
          <w:snapToGrid w:val="0"/>
          <w:kern w:val="28"/>
          <w:sz w:val="22"/>
        </w:rPr>
        <w:t xml:space="preserve"> nor had they reported the obstruction light outages to the FAA.</w:t>
      </w:r>
      <w:r>
        <w:rPr>
          <w:snapToGrid w:val="0"/>
          <w:kern w:val="28"/>
          <w:sz w:val="22"/>
          <w:vertAlign w:val="superscript"/>
        </w:rPr>
        <w:footnoteReference w:id="6"/>
      </w:r>
    </w:p>
    <w:p w:rsidR="008E3BA9" w:rsidRPr="008E3BA9" w:rsidP="008E3BA9" w14:paraId="56D6CFE3" w14:textId="77777777">
      <w:pPr>
        <w:widowControl w:val="0"/>
        <w:ind w:left="720" w:right="450"/>
        <w:rPr>
          <w:snapToGrid w:val="0"/>
          <w:kern w:val="28"/>
          <w:sz w:val="22"/>
        </w:rPr>
      </w:pPr>
    </w:p>
    <w:p w:rsidR="008E3BA9" w:rsidP="008E3BA9" w14:paraId="09F223D1" w14:textId="1CF91F23">
      <w:pPr>
        <w:widowControl w:val="0"/>
        <w:numPr>
          <w:ilvl w:val="1"/>
          <w:numId w:val="1"/>
        </w:numPr>
        <w:tabs>
          <w:tab w:val="clear" w:pos="3240"/>
        </w:tabs>
        <w:ind w:left="1440" w:right="450" w:hanging="720"/>
        <w:rPr>
          <w:sz w:val="22"/>
          <w:szCs w:val="22"/>
        </w:rPr>
      </w:pPr>
      <w:r w:rsidRPr="008E3BA9">
        <w:rPr>
          <w:snapToGrid w:val="0"/>
          <w:kern w:val="28"/>
          <w:sz w:val="22"/>
        </w:rPr>
        <w:t xml:space="preserve">47 C.F.R. § </w:t>
      </w:r>
      <w:r w:rsidRPr="008E3BA9" w:rsidR="00D972B9">
        <w:rPr>
          <w:snapToGrid w:val="0"/>
          <w:kern w:val="28"/>
          <w:sz w:val="22"/>
        </w:rPr>
        <w:t>73.1560</w:t>
      </w:r>
      <w:r w:rsidRPr="008E3BA9">
        <w:rPr>
          <w:snapToGrid w:val="0"/>
          <w:kern w:val="28"/>
          <w:sz w:val="22"/>
        </w:rPr>
        <w:t>(a):</w:t>
      </w:r>
      <w:r w:rsidRPr="008E3BA9" w:rsidR="00D972B9">
        <w:rPr>
          <w:snapToGrid w:val="0"/>
          <w:kern w:val="28"/>
          <w:sz w:val="22"/>
        </w:rPr>
        <w:t xml:space="preserve"> </w:t>
      </w:r>
      <w:r w:rsidRPr="008E3BA9">
        <w:rPr>
          <w:snapToGrid w:val="0"/>
          <w:kern w:val="28"/>
          <w:sz w:val="22"/>
        </w:rPr>
        <w:t>“</w:t>
      </w:r>
      <w:r w:rsidR="006E2D65">
        <w:rPr>
          <w:snapToGrid w:val="0"/>
          <w:kern w:val="28"/>
          <w:sz w:val="22"/>
        </w:rPr>
        <w:t>[T]</w:t>
      </w:r>
      <w:r w:rsidRPr="008E3BA9" w:rsidR="00D972B9">
        <w:rPr>
          <w:snapToGrid w:val="0"/>
          <w:kern w:val="28"/>
          <w:sz w:val="22"/>
        </w:rPr>
        <w:t>he antenna input power of an AM station, as determined by the procedures specified in Sec. 73.51, must be maintained as near as practicable to the authorized antenna input power and may not be less than 90 percent nor greater than 105 percent of the authorized powe</w:t>
      </w:r>
      <w:r w:rsidRPr="008E3BA9">
        <w:rPr>
          <w:snapToGrid w:val="0"/>
          <w:kern w:val="28"/>
          <w:sz w:val="22"/>
        </w:rPr>
        <w:t>r.”</w:t>
      </w:r>
      <w:r w:rsidRPr="008E3BA9" w:rsidR="00D972B9">
        <w:rPr>
          <w:snapToGrid w:val="0"/>
          <w:kern w:val="28"/>
          <w:sz w:val="22"/>
        </w:rPr>
        <w:t xml:space="preserve">  </w:t>
      </w:r>
      <w:r w:rsidRPr="008E3BA9" w:rsidR="00DA222E">
        <w:rPr>
          <w:snapToGrid w:val="0"/>
          <w:kern w:val="28"/>
          <w:sz w:val="22"/>
        </w:rPr>
        <w:t xml:space="preserve">Based on field strength measurements and </w:t>
      </w:r>
      <w:r w:rsidRPr="008E3BA9" w:rsidR="00090AE9">
        <w:rPr>
          <w:snapToGrid w:val="0"/>
          <w:kern w:val="28"/>
          <w:sz w:val="22"/>
        </w:rPr>
        <w:t>observations</w:t>
      </w:r>
      <w:r w:rsidRPr="008E3BA9" w:rsidR="00DA222E">
        <w:rPr>
          <w:snapToGrid w:val="0"/>
          <w:kern w:val="28"/>
          <w:sz w:val="22"/>
        </w:rPr>
        <w:t xml:space="preserve"> of the </w:t>
      </w:r>
      <w:r w:rsidRPr="008E3BA9" w:rsidR="00090AE9">
        <w:rPr>
          <w:snapToGrid w:val="0"/>
          <w:kern w:val="28"/>
          <w:sz w:val="22"/>
        </w:rPr>
        <w:t xml:space="preserve">station’s </w:t>
      </w:r>
      <w:r w:rsidRPr="008E3BA9" w:rsidR="00834D13">
        <w:rPr>
          <w:snapToGrid w:val="0"/>
          <w:kern w:val="28"/>
          <w:sz w:val="22"/>
        </w:rPr>
        <w:t>current meter</w:t>
      </w:r>
      <w:r w:rsidRPr="008E3BA9" w:rsidR="00090AE9">
        <w:rPr>
          <w:snapToGrid w:val="0"/>
          <w:kern w:val="28"/>
          <w:sz w:val="22"/>
        </w:rPr>
        <w:t>, the Agent determined that Station WLLL was operating with 533% of its authorized nighttime power</w:t>
      </w:r>
      <w:r w:rsidRPr="008E3BA9" w:rsidR="00834D13">
        <w:rPr>
          <w:snapToGrid w:val="0"/>
          <w:kern w:val="28"/>
          <w:sz w:val="22"/>
        </w:rPr>
        <w:t xml:space="preserve"> after sunset on November 19, 2018</w:t>
      </w:r>
      <w:r w:rsidRPr="008E3BA9" w:rsidR="00090AE9">
        <w:rPr>
          <w:snapToGrid w:val="0"/>
          <w:kern w:val="28"/>
          <w:sz w:val="22"/>
        </w:rPr>
        <w:t>.</w:t>
      </w:r>
      <w:r>
        <w:rPr>
          <w:snapToGrid w:val="0"/>
          <w:kern w:val="28"/>
          <w:vertAlign w:val="superscript"/>
        </w:rPr>
        <w:footnoteReference w:id="7"/>
      </w:r>
      <w:r w:rsidRPr="005A6BE8" w:rsidR="00090AE9">
        <w:rPr>
          <w:snapToGrid w:val="0"/>
          <w:kern w:val="28"/>
          <w:sz w:val="22"/>
          <w:vertAlign w:val="superscript"/>
        </w:rPr>
        <w:t xml:space="preserve"> </w:t>
      </w:r>
      <w:r w:rsidRPr="008E3BA9" w:rsidR="00090AE9">
        <w:rPr>
          <w:snapToGrid w:val="0"/>
          <w:kern w:val="28"/>
          <w:sz w:val="22"/>
        </w:rPr>
        <w:t xml:space="preserve"> In addition, based on observations of the station’s </w:t>
      </w:r>
      <w:r w:rsidRPr="008E3BA9" w:rsidR="00834D13">
        <w:rPr>
          <w:snapToGrid w:val="0"/>
          <w:kern w:val="28"/>
          <w:sz w:val="22"/>
        </w:rPr>
        <w:t xml:space="preserve">current </w:t>
      </w:r>
      <w:r w:rsidRPr="008E3BA9" w:rsidR="00090AE9">
        <w:rPr>
          <w:snapToGrid w:val="0"/>
          <w:kern w:val="28"/>
          <w:sz w:val="22"/>
        </w:rPr>
        <w:t>meter, the agent determined that Station WLL</w:t>
      </w:r>
      <w:r w:rsidRPr="008E3BA9" w:rsidR="00834D13">
        <w:rPr>
          <w:snapToGrid w:val="0"/>
          <w:kern w:val="28"/>
          <w:sz w:val="22"/>
        </w:rPr>
        <w:t>L</w:t>
      </w:r>
      <w:r w:rsidRPr="008E3BA9" w:rsidR="00090AE9">
        <w:rPr>
          <w:snapToGrid w:val="0"/>
          <w:kern w:val="28"/>
          <w:sz w:val="22"/>
        </w:rPr>
        <w:t xml:space="preserve"> </w:t>
      </w:r>
      <w:r w:rsidRPr="008E3BA9">
        <w:rPr>
          <w:snapToGrid w:val="0"/>
          <w:kern w:val="28"/>
          <w:sz w:val="22"/>
        </w:rPr>
        <w:t xml:space="preserve">was operating at 74% of its authorized </w:t>
      </w:r>
      <w:r w:rsidRPr="008E3BA9" w:rsidR="00254654">
        <w:rPr>
          <w:snapToGrid w:val="0"/>
          <w:kern w:val="28"/>
          <w:sz w:val="22"/>
        </w:rPr>
        <w:t xml:space="preserve">day time </w:t>
      </w:r>
      <w:r w:rsidRPr="008E3BA9">
        <w:rPr>
          <w:snapToGrid w:val="0"/>
          <w:kern w:val="28"/>
          <w:sz w:val="22"/>
        </w:rPr>
        <w:t>transmitter power</w:t>
      </w:r>
      <w:r w:rsidRPr="008E3BA9" w:rsidR="00834D13">
        <w:rPr>
          <w:snapToGrid w:val="0"/>
          <w:kern w:val="28"/>
          <w:sz w:val="22"/>
        </w:rPr>
        <w:t xml:space="preserve"> after sunrise on November 20, 2018</w:t>
      </w:r>
      <w:r w:rsidRPr="008E3BA9">
        <w:rPr>
          <w:snapToGrid w:val="0"/>
          <w:kern w:val="28"/>
          <w:sz w:val="22"/>
        </w:rPr>
        <w:t>.</w:t>
      </w:r>
      <w:r>
        <w:rPr>
          <w:snapToGrid w:val="0"/>
          <w:kern w:val="28"/>
          <w:sz w:val="22"/>
          <w:vertAlign w:val="superscript"/>
        </w:rPr>
        <w:footnoteReference w:id="8"/>
      </w:r>
    </w:p>
    <w:p w:rsidR="008E3BA9" w:rsidRPr="008E3BA9" w:rsidP="008E3BA9" w14:paraId="65A12E8A" w14:textId="77777777">
      <w:pPr>
        <w:widowControl w:val="0"/>
        <w:ind w:right="450"/>
        <w:rPr>
          <w:sz w:val="22"/>
          <w:szCs w:val="22"/>
        </w:rPr>
      </w:pPr>
    </w:p>
    <w:p w:rsidR="00EF40B6" w:rsidRPr="008E3BA9" w:rsidP="008E3BA9" w14:paraId="4A492EE2" w14:textId="1501C6CA">
      <w:pPr>
        <w:pStyle w:val="ParaNum"/>
        <w:numPr>
          <w:ilvl w:val="0"/>
          <w:numId w:val="1"/>
        </w:numPr>
        <w:spacing w:after="0"/>
        <w:ind w:left="0" w:firstLine="720"/>
        <w:rPr>
          <w:vertAlign w:val="superscript"/>
        </w:rPr>
      </w:pPr>
      <w:r w:rsidRPr="007D46FC">
        <w:t xml:space="preserve">Pursuant to Section 308(b) of the Communications Act of 1934, as amended, Section 403 of the Communications Act of 1934, as amended, and Section 1.89 of the </w:t>
      </w:r>
      <w:r w:rsidR="001F3147">
        <w:t>Commission’s rules</w:t>
      </w:r>
      <w:r w:rsidRPr="007D46FC">
        <w:t>, we seek additional information concerning the violation and any remedial actions taken.</w:t>
      </w:r>
      <w:r>
        <w:rPr>
          <w:rStyle w:val="FootnoteReference"/>
        </w:rPr>
        <w:footnoteReference w:id="9"/>
      </w:r>
      <w:r w:rsidRPr="007D46FC">
        <w:t xml:space="preserve">  Therefore, </w:t>
      </w:r>
      <w:r w:rsidRPr="007D46FC" w:rsidR="00035FD8">
        <w:t>Hubbard’s Advertising</w:t>
      </w:r>
      <w:r w:rsidRPr="007D46FC" w:rsidR="009D0BE6">
        <w:t xml:space="preserve"> </w:t>
      </w:r>
      <w:r w:rsidRPr="007D46FC">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vertAlign w:val="superscript"/>
        </w:rPr>
        <w:footnoteReference w:id="10"/>
      </w:r>
    </w:p>
    <w:p w:rsidR="008E3BA9" w:rsidP="008E3BA9" w14:paraId="7C2E1914" w14:textId="77777777">
      <w:pPr>
        <w:pStyle w:val="ParaNum"/>
        <w:spacing w:after="0"/>
        <w:ind w:left="720"/>
      </w:pPr>
    </w:p>
    <w:p w:rsidR="008E3BA9" w:rsidP="008E3BA9" w14:paraId="429BCC2C" w14:textId="77777777">
      <w:pPr>
        <w:pStyle w:val="ParaNum"/>
        <w:spacing w:after="0"/>
        <w:ind w:left="720"/>
      </w:pPr>
    </w:p>
    <w:p w:rsidR="005F6D21" w:rsidP="008E3BA9" w14:paraId="3638E9AC" w14:textId="75A832E8">
      <w:pPr>
        <w:pStyle w:val="ParaNum"/>
        <w:numPr>
          <w:ilvl w:val="0"/>
          <w:numId w:val="1"/>
        </w:numPr>
        <w:spacing w:after="0"/>
        <w:ind w:left="0" w:firstLine="720"/>
      </w:pPr>
      <w:r w:rsidRPr="007D46FC">
        <w:t xml:space="preserve">In accordance with Section 1.16 of the </w:t>
      </w:r>
      <w:r w:rsidR="001F3147">
        <w:t>Commission’s rules</w:t>
      </w:r>
      <w:r w:rsidRPr="007D46FC">
        <w:t xml:space="preserve">, we direct </w:t>
      </w:r>
      <w:r w:rsidRPr="007D46FC" w:rsidR="00035FD8">
        <w:t>Hubbard’s Advertising</w:t>
      </w:r>
      <w:r w:rsidRPr="007D46FC">
        <w:t xml:space="preserve"> to support its response to this Notice with an affidavit or declaration under penalty of perjury, signed and dated by an authorized officer of </w:t>
      </w:r>
      <w:r w:rsidRPr="007D46FC" w:rsidR="00035FD8">
        <w:t>Hubbard’s Advertising</w:t>
      </w:r>
      <w:r w:rsidRPr="007D46FC" w:rsidR="009D0BE6">
        <w:t xml:space="preserve"> </w:t>
      </w:r>
      <w:r w:rsidRPr="007D46FC">
        <w:t xml:space="preserve">with personal knowledge of the representations provided in </w:t>
      </w:r>
      <w:r w:rsidRPr="007D46FC" w:rsidR="00035FD8">
        <w:t>Hubbard’s Advertising</w:t>
      </w:r>
      <w:r w:rsidRPr="007D46FC" w:rsidR="009D0BE6">
        <w:t xml:space="preserve">’s </w:t>
      </w:r>
      <w:r w:rsidRPr="007D46FC">
        <w:t xml:space="preserve">response, verifying the truth and accuracy of the information therein, and confirming that all of the information requested by this Notice which is in </w:t>
      </w:r>
      <w:r w:rsidRPr="007D46FC" w:rsidR="00035FD8">
        <w:t>Hubbard’s Advertising</w:t>
      </w:r>
      <w:r w:rsidRPr="007D46FC">
        <w:t xml:space="preserve"> possession, custody, control, or knowledge has been produced.</w:t>
      </w:r>
      <w:r w:rsidRPr="00107DD2" w:rsidR="000F2926">
        <w:rPr>
          <w:vertAlign w:val="superscript"/>
        </w:rPr>
        <w:t xml:space="preserve"> </w:t>
      </w:r>
      <w:r>
        <w:rPr>
          <w:vertAlign w:val="superscript"/>
        </w:rPr>
        <w:footnoteReference w:id="11"/>
      </w:r>
      <w:r w:rsidRPr="007D46FC">
        <w:t xml:space="preserve">  To knowingly and willfully make any false statement or conceal any material fact in reply to this Notice is punishable by fine or imprisonment under Title 18 of the U.S. Code.</w:t>
      </w:r>
      <w:r>
        <w:rPr>
          <w:vertAlign w:val="superscript"/>
        </w:rPr>
        <w:footnoteReference w:id="12"/>
      </w:r>
    </w:p>
    <w:p w:rsidR="008E3BA9" w:rsidRPr="007D46FC" w:rsidP="008E3BA9" w14:paraId="37BA2BC6" w14:textId="77777777">
      <w:pPr>
        <w:pStyle w:val="ParaNum"/>
        <w:spacing w:after="0"/>
        <w:ind w:left="720"/>
      </w:pPr>
    </w:p>
    <w:p w:rsidR="000D5C83" w:rsidRPr="007D46FC" w:rsidP="008E3BA9" w14:paraId="12F7D13C" w14:textId="3C3AFD6F">
      <w:pPr>
        <w:pStyle w:val="ParaNum"/>
        <w:numPr>
          <w:ilvl w:val="0"/>
          <w:numId w:val="1"/>
        </w:numPr>
        <w:spacing w:after="0"/>
        <w:ind w:left="0" w:firstLine="720"/>
      </w:pPr>
      <w:r w:rsidRPr="007D46FC">
        <w:t xml:space="preserve">All replies and documentation sent in response to this Notice should be marked with the File No. specified above, and </w:t>
      </w:r>
      <w:r w:rsidRPr="007D46FC" w:rsidR="008908BC">
        <w:t xml:space="preserve">emailed and </w:t>
      </w:r>
      <w:r w:rsidRPr="007D46FC">
        <w:t>mailed to the following address:</w:t>
      </w:r>
    </w:p>
    <w:p w:rsidR="000D5C83" w:rsidRPr="00090AE9" w:rsidP="008E3BA9" w14:paraId="4822B5A6" w14:textId="77777777">
      <w:pPr>
        <w:keepNext/>
        <w:keepLines/>
        <w:rPr>
          <w:sz w:val="22"/>
          <w:szCs w:val="22"/>
        </w:rPr>
      </w:pPr>
    </w:p>
    <w:p w:rsidR="000D5C83" w:rsidRPr="001F3147" w:rsidP="008E3BA9" w14:paraId="769F8CC0" w14:textId="77777777">
      <w:pPr>
        <w:widowControl w:val="0"/>
        <w:ind w:left="2160"/>
        <w:rPr>
          <w:snapToGrid w:val="0"/>
          <w:kern w:val="28"/>
          <w:sz w:val="22"/>
        </w:rPr>
      </w:pPr>
      <w:r w:rsidRPr="001F3147">
        <w:rPr>
          <w:snapToGrid w:val="0"/>
          <w:kern w:val="28"/>
          <w:sz w:val="22"/>
        </w:rPr>
        <w:t>Federal Communications Commission</w:t>
      </w:r>
    </w:p>
    <w:p w:rsidR="000D5C83" w:rsidRPr="001F3147" w:rsidP="008E3BA9" w14:paraId="61E78DB8" w14:textId="357DBC9A">
      <w:pPr>
        <w:widowControl w:val="0"/>
        <w:ind w:left="2160"/>
        <w:rPr>
          <w:snapToGrid w:val="0"/>
          <w:kern w:val="28"/>
          <w:sz w:val="22"/>
        </w:rPr>
      </w:pPr>
      <w:r w:rsidRPr="001F3147">
        <w:rPr>
          <w:snapToGrid w:val="0"/>
          <w:kern w:val="28"/>
          <w:sz w:val="22"/>
        </w:rPr>
        <w:t xml:space="preserve">EB </w:t>
      </w:r>
      <w:r w:rsidRPr="001F3147">
        <w:rPr>
          <w:snapToGrid w:val="0"/>
          <w:kern w:val="28"/>
          <w:sz w:val="22"/>
        </w:rPr>
        <w:t>Columbia Regional Office</w:t>
      </w:r>
    </w:p>
    <w:p w:rsidR="000D5C83" w:rsidRPr="001F3147" w:rsidP="008E3BA9" w14:paraId="0B34C24F" w14:textId="5764333F">
      <w:pPr>
        <w:widowControl w:val="0"/>
        <w:ind w:left="2160"/>
        <w:rPr>
          <w:snapToGrid w:val="0"/>
          <w:kern w:val="28"/>
          <w:sz w:val="22"/>
        </w:rPr>
      </w:pPr>
      <w:r w:rsidRPr="001F3147">
        <w:rPr>
          <w:snapToGrid w:val="0"/>
          <w:kern w:val="28"/>
          <w:sz w:val="22"/>
        </w:rPr>
        <w:t>9050 Junction Drive</w:t>
      </w:r>
    </w:p>
    <w:p w:rsidR="009D0BE6" w:rsidP="008E3BA9" w14:paraId="3A0EE68E" w14:textId="6595F215">
      <w:pPr>
        <w:widowControl w:val="0"/>
        <w:ind w:left="2160"/>
        <w:rPr>
          <w:snapToGrid w:val="0"/>
          <w:kern w:val="28"/>
          <w:sz w:val="22"/>
        </w:rPr>
      </w:pPr>
      <w:r w:rsidRPr="001F3147">
        <w:rPr>
          <w:snapToGrid w:val="0"/>
          <w:kern w:val="28"/>
          <w:sz w:val="22"/>
        </w:rPr>
        <w:t>Annapolis Junction, Maryland 20701</w:t>
      </w:r>
    </w:p>
    <w:p w:rsidR="00EB4B5A" w:rsidRPr="001F3147" w:rsidP="008E3BA9" w14:paraId="447504E4" w14:textId="55FED2CA">
      <w:pPr>
        <w:widowControl w:val="0"/>
        <w:ind w:left="2160"/>
        <w:rPr>
          <w:snapToGrid w:val="0"/>
          <w:kern w:val="28"/>
          <w:sz w:val="22"/>
        </w:rPr>
      </w:pPr>
      <w:r>
        <w:rPr>
          <w:snapToGrid w:val="0"/>
          <w:kern w:val="28"/>
          <w:sz w:val="22"/>
        </w:rPr>
        <w:t>Field@fcc.gov</w:t>
      </w:r>
    </w:p>
    <w:p w:rsidR="00945186" w:rsidRPr="00090AE9" w:rsidP="008E3BA9" w14:paraId="73A497CE" w14:textId="77777777">
      <w:pPr>
        <w:tabs>
          <w:tab w:val="left" w:pos="-1440"/>
        </w:tabs>
        <w:rPr>
          <w:sz w:val="22"/>
          <w:szCs w:val="22"/>
        </w:rPr>
      </w:pPr>
    </w:p>
    <w:p w:rsidR="001F3147" w:rsidP="008E3BA9" w14:paraId="4EEC4AC6" w14:textId="573BB34E">
      <w:pPr>
        <w:pStyle w:val="ParaNum"/>
        <w:numPr>
          <w:ilvl w:val="0"/>
          <w:numId w:val="1"/>
        </w:numPr>
        <w:spacing w:after="0"/>
        <w:ind w:left="0" w:firstLine="720"/>
      </w:pPr>
      <w:r w:rsidRPr="007D46FC">
        <w:t xml:space="preserve">This Notice shall be sent to </w:t>
      </w:r>
      <w:r w:rsidRPr="007D46FC" w:rsidR="00035FD8">
        <w:t>Hubbard’s Advertising Agency, Inc.</w:t>
      </w:r>
      <w:r w:rsidRPr="007D46FC" w:rsidR="009D0BE6">
        <w:t xml:space="preserve">, </w:t>
      </w:r>
      <w:r w:rsidRPr="007D46FC" w:rsidR="006A7A43">
        <w:t>PO Box 11375</w:t>
      </w:r>
      <w:r w:rsidRPr="007D46FC" w:rsidR="009D0BE6">
        <w:t xml:space="preserve">, </w:t>
      </w:r>
      <w:r w:rsidRPr="007D46FC" w:rsidR="006A7A43">
        <w:t>Lynchburg, Virginia 24506</w:t>
      </w:r>
      <w:r w:rsidR="00EB4B5A">
        <w:t xml:space="preserve"> and its counsel, David Tillotson, Law Office of David Tillotson,</w:t>
      </w:r>
      <w:r w:rsidRPr="00EB4B5A" w:rsidR="00EB4B5A">
        <w:t xml:space="preserve"> 4606 </w:t>
      </w:r>
      <w:r w:rsidR="00EB4B5A">
        <w:t>Charleston Terrace, N.W., Washington</w:t>
      </w:r>
      <w:r w:rsidR="00815981">
        <w:t xml:space="preserve"> </w:t>
      </w:r>
      <w:bookmarkStart w:id="3" w:name="_GoBack"/>
      <w:bookmarkEnd w:id="3"/>
      <w:r w:rsidR="00815981">
        <w:t>20007</w:t>
      </w:r>
      <w:r w:rsidRPr="00EB4B5A" w:rsidR="00EB4B5A">
        <w:t>.</w:t>
      </w:r>
    </w:p>
    <w:p w:rsidR="008E3BA9" w:rsidP="008E3BA9" w14:paraId="79CC8FEB" w14:textId="77777777">
      <w:pPr>
        <w:pStyle w:val="ParaNum"/>
        <w:spacing w:after="0"/>
        <w:ind w:left="720"/>
      </w:pPr>
    </w:p>
    <w:p w:rsidR="000D5C83" w:rsidRPr="008E3BA9" w:rsidP="008E3BA9" w14:paraId="5EC1DD7A" w14:textId="6AC7939F">
      <w:pPr>
        <w:pStyle w:val="ParaNum"/>
        <w:numPr>
          <w:ilvl w:val="0"/>
          <w:numId w:val="1"/>
        </w:numPr>
        <w:spacing w:after="0"/>
        <w:ind w:left="0" w:firstLine="720"/>
      </w:pPr>
      <w:r w:rsidRPr="007D46FC">
        <w:t>The Privacy Act of 1974</w:t>
      </w:r>
      <w:r>
        <w:rPr>
          <w:vertAlign w:val="superscript"/>
        </w:rPr>
        <w:footnoteReference w:id="13"/>
      </w:r>
      <w:r w:rsidRPr="005A6BE8">
        <w:rPr>
          <w:vertAlign w:val="superscript"/>
        </w:rPr>
        <w:t xml:space="preserve"> </w:t>
      </w:r>
      <w:r w:rsidRPr="007D46FC">
        <w:t xml:space="preserve">requires that we advise you that the Commission will use all relevant material information before it, including any information disclosed in your reply, to determine what, if any, enforcement action is required to ensure compliance.  </w:t>
      </w:r>
    </w:p>
    <w:p w:rsidR="000D5C83" w:rsidRPr="00090AE9" w:rsidP="008E3BA9" w14:paraId="7EC22A92" w14:textId="181C045D">
      <w:pPr>
        <w:rPr>
          <w:sz w:val="22"/>
          <w:szCs w:val="22"/>
        </w:rPr>
      </w:pPr>
    </w:p>
    <w:p w:rsidR="009D0BE6" w:rsidRPr="00090AE9" w:rsidP="008E3BA9" w14:paraId="05E01F5B" w14:textId="77777777">
      <w:pPr>
        <w:rPr>
          <w:sz w:val="22"/>
          <w:szCs w:val="22"/>
        </w:rPr>
      </w:pPr>
    </w:p>
    <w:p w:rsidR="000D5C83" w:rsidRPr="00090AE9" w:rsidP="008E3BA9" w14:paraId="79E81DC5" w14:textId="471F2761">
      <w:pPr>
        <w:ind w:firstLine="4680"/>
        <w:rPr>
          <w:sz w:val="22"/>
          <w:szCs w:val="22"/>
        </w:rPr>
      </w:pPr>
      <w:r w:rsidRPr="00090AE9">
        <w:rPr>
          <w:sz w:val="22"/>
          <w:szCs w:val="22"/>
        </w:rPr>
        <w:t>FEDERAL COMMUNICATIONS COMMISSION</w:t>
      </w:r>
    </w:p>
    <w:p w:rsidR="000D5C83" w:rsidP="008E3BA9" w14:paraId="58CAFCC9" w14:textId="3A7ECBC5">
      <w:pPr>
        <w:rPr>
          <w:sz w:val="22"/>
          <w:szCs w:val="22"/>
        </w:rPr>
      </w:pPr>
    </w:p>
    <w:p w:rsidR="00504161" w:rsidRPr="00090AE9" w:rsidP="008E3BA9" w14:paraId="2D5C1737" w14:textId="77777777">
      <w:pPr>
        <w:rPr>
          <w:sz w:val="22"/>
          <w:szCs w:val="22"/>
        </w:rPr>
      </w:pPr>
    </w:p>
    <w:p w:rsidR="000D5C83" w:rsidRPr="00090AE9" w:rsidP="008E3BA9" w14:paraId="7E508C59" w14:textId="245EE99F">
      <w:pPr>
        <w:rPr>
          <w:sz w:val="22"/>
          <w:szCs w:val="22"/>
        </w:rPr>
      </w:pPr>
    </w:p>
    <w:p w:rsidR="004C5FDD" w:rsidRPr="00090AE9" w:rsidP="008E3BA9" w14:paraId="732530A9" w14:textId="6F809FC4">
      <w:pPr>
        <w:rPr>
          <w:sz w:val="22"/>
          <w:szCs w:val="22"/>
        </w:rPr>
      </w:pPr>
    </w:p>
    <w:p w:rsidR="000D5C83" w:rsidRPr="00090AE9" w:rsidP="008E3BA9" w14:paraId="50B4C7FD" w14:textId="77777777">
      <w:pPr>
        <w:pStyle w:val="Header"/>
        <w:ind w:firstLine="4680"/>
        <w:rPr>
          <w:sz w:val="22"/>
          <w:szCs w:val="22"/>
        </w:rPr>
      </w:pPr>
      <w:r w:rsidRPr="00090AE9">
        <w:rPr>
          <w:sz w:val="22"/>
          <w:szCs w:val="22"/>
        </w:rPr>
        <w:t>David C. Dombrowski</w:t>
      </w:r>
    </w:p>
    <w:p w:rsidR="000D5C83" w:rsidRPr="00090AE9" w:rsidP="008E3BA9" w14:paraId="42691EEF" w14:textId="77777777">
      <w:pPr>
        <w:pStyle w:val="Header"/>
        <w:ind w:firstLine="4680"/>
        <w:rPr>
          <w:sz w:val="22"/>
          <w:szCs w:val="22"/>
        </w:rPr>
      </w:pPr>
      <w:r w:rsidRPr="00090AE9">
        <w:rPr>
          <w:sz w:val="22"/>
          <w:szCs w:val="22"/>
        </w:rPr>
        <w:t>Regional Director</w:t>
      </w:r>
    </w:p>
    <w:p w:rsidR="000D5C83" w:rsidRPr="00090AE9" w:rsidP="008E3BA9" w14:paraId="55D4917D" w14:textId="77777777">
      <w:pPr>
        <w:pStyle w:val="Header"/>
        <w:ind w:firstLine="4680"/>
        <w:rPr>
          <w:sz w:val="22"/>
          <w:szCs w:val="22"/>
        </w:rPr>
      </w:pPr>
      <w:r w:rsidRPr="00090AE9">
        <w:rPr>
          <w:sz w:val="22"/>
          <w:szCs w:val="22"/>
        </w:rPr>
        <w:t>Region One</w:t>
      </w:r>
    </w:p>
    <w:p w:rsidR="00E456AF" w:rsidRPr="00B74069" w:rsidP="005F6D21" w14:paraId="6CBE5126" w14:textId="186A7C64">
      <w:pPr>
        <w:pStyle w:val="Header"/>
        <w:ind w:firstLine="4680"/>
        <w:rPr>
          <w:sz w:val="22"/>
          <w:szCs w:val="22"/>
        </w:rPr>
      </w:pPr>
      <w:r w:rsidRPr="00B74069">
        <w:rPr>
          <w:sz w:val="22"/>
          <w:szCs w:val="22"/>
        </w:rPr>
        <w:t>Enforcement Bureau</w:t>
      </w:r>
    </w:p>
    <w:sectPr w:rsidSect="006567BF">
      <w:pgSz w:w="12240" w:h="15840" w:code="1"/>
      <w:pgMar w:top="1244" w:right="1440" w:bottom="1440" w:left="1440" w:header="63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0A2C" w:rsidP="000D5C83" w14:paraId="6C19D7E3" w14:textId="77777777">
      <w:r>
        <w:separator/>
      </w:r>
    </w:p>
  </w:footnote>
  <w:footnote w:type="continuationSeparator" w:id="1">
    <w:p w:rsidR="00420A2C" w:rsidP="000D5C83" w14:paraId="4E5428DB" w14:textId="77777777">
      <w:r>
        <w:continuationSeparator/>
      </w:r>
    </w:p>
  </w:footnote>
  <w:footnote w:id="2">
    <w:p w:rsidR="00B85282" w:rsidRPr="00C64968" w:rsidP="000D5C83" w14:paraId="055FA8DE"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B85282" w:rsidP="006A7A43" w14:paraId="7DEE0F54" w14:textId="2C9A7AC9">
      <w:pPr>
        <w:tabs>
          <w:tab w:val="left" w:pos="-1440"/>
        </w:tabs>
        <w:spacing w:after="120"/>
      </w:pPr>
      <w:r>
        <w:rPr>
          <w:rStyle w:val="FootnoteReference"/>
        </w:rPr>
        <w:footnoteRef/>
      </w:r>
      <w:r>
        <w:t xml:space="preserve"> </w:t>
      </w:r>
      <w:r w:rsidRPr="0041136F">
        <w:t xml:space="preserve">47 </w:t>
      </w:r>
      <w:r>
        <w:t>CFR</w:t>
      </w:r>
      <w:r w:rsidRPr="0041136F">
        <w:t xml:space="preserve"> § 1.89(a).</w:t>
      </w:r>
    </w:p>
  </w:footnote>
  <w:footnote w:id="4">
    <w:p w:rsidR="0073323C" w:rsidRPr="00892A66" w:rsidP="0073323C" w14:paraId="3BF4B10D" w14:textId="396FF7B7">
      <w:pPr>
        <w:pStyle w:val="FootnoteText"/>
        <w:rPr>
          <w:sz w:val="20"/>
        </w:rPr>
      </w:pPr>
      <w:r>
        <w:rPr>
          <w:rStyle w:val="FootnoteReference"/>
        </w:rPr>
        <w:footnoteRef/>
      </w:r>
      <w:r>
        <w:t xml:space="preserve"> </w:t>
      </w:r>
      <w:r w:rsidRPr="00892A66">
        <w:rPr>
          <w:sz w:val="20"/>
        </w:rPr>
        <w:t xml:space="preserve">47 CFR § 11.56.  Review of the </w:t>
      </w:r>
      <w:smartTag w:uri="urn:schemas-microsoft-com:office:smarttags" w:element="PersonName">
        <w:r w:rsidRPr="00892A66">
          <w:rPr>
            <w:sz w:val="20"/>
          </w:rPr>
          <w:t>Emergency</w:t>
        </w:r>
      </w:smartTag>
      <w:r w:rsidRPr="00892A66">
        <w:rPr>
          <w:sz w:val="20"/>
        </w:rPr>
        <w:t xml:space="preserve"> Alert System, 77 Fed. </w:t>
      </w:r>
      <w:smartTag w:uri="urn:schemas-microsoft-com:office:smarttags" w:element="City">
        <w:r w:rsidRPr="00892A66">
          <w:rPr>
            <w:sz w:val="20"/>
          </w:rPr>
          <w:t>Reg.</w:t>
        </w:r>
      </w:smartTag>
      <w:r w:rsidRPr="00892A66">
        <w:rPr>
          <w:sz w:val="20"/>
        </w:rPr>
        <w:t xml:space="preserve"> </w:t>
      </w:r>
      <w:smartTag w:uri="urn:schemas-microsoft-com:office:smarttags" w:element="PostalCode">
        <w:r w:rsidRPr="00892A66">
          <w:rPr>
            <w:sz w:val="20"/>
          </w:rPr>
          <w:t>16688</w:t>
        </w:r>
      </w:smartTag>
      <w:r w:rsidRPr="00892A66">
        <w:rPr>
          <w:sz w:val="20"/>
        </w:rPr>
        <w:t xml:space="preserve">, </w:t>
      </w:r>
      <w:smartTag w:uri="urn:schemas-microsoft-com:office:smarttags" w:element="PostalCode">
        <w:r w:rsidRPr="00892A66">
          <w:rPr>
            <w:sz w:val="20"/>
          </w:rPr>
          <w:t>16706</w:t>
        </w:r>
      </w:smartTag>
      <w:r w:rsidRPr="00892A66">
        <w:rPr>
          <w:sz w:val="20"/>
        </w:rPr>
        <w:t xml:space="preserve"> (Mar. 22, 2012), as amended, 77 </w:t>
      </w:r>
      <w:smartTag w:uri="urn:schemas-microsoft-com:office:smarttags" w:element="place">
        <w:smartTag w:uri="urn:schemas-microsoft-com:office:smarttags" w:element="City">
          <w:r w:rsidRPr="00892A66">
            <w:rPr>
              <w:sz w:val="20"/>
            </w:rPr>
            <w:t>FR</w:t>
          </w:r>
        </w:smartTag>
        <w:r w:rsidRPr="00892A66">
          <w:rPr>
            <w:sz w:val="20"/>
          </w:rPr>
          <w:t xml:space="preserve"> </w:t>
        </w:r>
        <w:smartTag w:uri="urn:schemas-microsoft-com:office:smarttags" w:element="PostalCode">
          <w:r w:rsidRPr="00892A66">
            <w:rPr>
              <w:sz w:val="20"/>
            </w:rPr>
            <w:t>26701</w:t>
          </w:r>
        </w:smartTag>
        <w:r w:rsidRPr="00892A66">
          <w:rPr>
            <w:sz w:val="20"/>
          </w:rPr>
          <w:t xml:space="preserve">, </w:t>
        </w:r>
        <w:smartTag w:uri="urn:schemas-microsoft-com:office:smarttags" w:element="PostalCode">
          <w:r w:rsidRPr="00892A66">
            <w:rPr>
              <w:sz w:val="20"/>
            </w:rPr>
            <w:t>26703</w:t>
          </w:r>
        </w:smartTag>
      </w:smartTag>
      <w:r w:rsidRPr="00892A66">
        <w:rPr>
          <w:sz w:val="20"/>
        </w:rPr>
        <w:t>, (May 7, 2012).</w:t>
      </w:r>
    </w:p>
    <w:p w:rsidR="0073323C" w:rsidP="0073323C" w14:paraId="35391DE9" w14:textId="77777777">
      <w:pPr>
        <w:pStyle w:val="FootnoteText"/>
      </w:pPr>
    </w:p>
  </w:footnote>
  <w:footnote w:id="5">
    <w:p w:rsidR="00326616" w:rsidRPr="00F11C93" w:rsidP="008E3BA9" w14:paraId="345D58E9" w14:textId="7CC7147D">
      <w:pPr>
        <w:pStyle w:val="FootnoteText"/>
        <w:spacing w:after="120"/>
        <w:rPr>
          <w:sz w:val="20"/>
        </w:rPr>
      </w:pPr>
      <w:r>
        <w:rPr>
          <w:rStyle w:val="FootnoteReference"/>
        </w:rPr>
        <w:footnoteRef/>
      </w:r>
      <w:r>
        <w:t xml:space="preserve"> </w:t>
      </w:r>
      <w:r w:rsidRPr="00F11C93">
        <w:rPr>
          <w:sz w:val="20"/>
        </w:rPr>
        <w:t>The NOTAM number was LYH 11/020, expiration December 31, 2018</w:t>
      </w:r>
      <w:r w:rsidR="00D20952">
        <w:rPr>
          <w:sz w:val="20"/>
        </w:rPr>
        <w:t>.</w:t>
      </w:r>
    </w:p>
  </w:footnote>
  <w:footnote w:id="6">
    <w:p w:rsidR="00326616" w:rsidRPr="00F11C93" w:rsidP="008E3BA9" w14:paraId="7C28C4B9" w14:textId="77777777">
      <w:pPr>
        <w:pStyle w:val="FootnoteText"/>
        <w:spacing w:after="120"/>
        <w:rPr>
          <w:sz w:val="20"/>
        </w:rPr>
      </w:pPr>
      <w:r w:rsidRPr="00F11C93">
        <w:rPr>
          <w:rStyle w:val="FootnoteReference"/>
        </w:rPr>
        <w:footnoteRef/>
      </w:r>
      <w:r w:rsidRPr="00F11C93">
        <w:rPr>
          <w:sz w:val="20"/>
        </w:rPr>
        <w:t xml:space="preserve"> </w:t>
      </w:r>
      <w:r w:rsidRPr="00D21652">
        <w:rPr>
          <w:sz w:val="20"/>
        </w:rPr>
        <w:t>The main A/C power breaker was found open or “tripped”.</w:t>
      </w:r>
    </w:p>
  </w:footnote>
  <w:footnote w:id="7">
    <w:p w:rsidR="00090AE9" w:rsidRPr="00F11C93" w:rsidP="008E3BA9" w14:paraId="7A442052" w14:textId="77777777">
      <w:pPr>
        <w:pStyle w:val="FootnoteText"/>
        <w:spacing w:after="120"/>
        <w:rPr>
          <w:sz w:val="20"/>
        </w:rPr>
      </w:pPr>
      <w:r w:rsidRPr="00F11C93">
        <w:rPr>
          <w:rStyle w:val="FootnoteReference"/>
        </w:rPr>
        <w:footnoteRef/>
      </w:r>
      <w:r w:rsidRPr="00F11C93">
        <w:rPr>
          <w:sz w:val="20"/>
        </w:rPr>
        <w:t xml:space="preserve"> Using the direct method (antenna base current </w:t>
      </w:r>
      <w:r>
        <w:rPr>
          <w:sz w:val="20"/>
        </w:rPr>
        <w:t xml:space="preserve">and </w:t>
      </w:r>
      <w:r w:rsidRPr="00F11C93">
        <w:rPr>
          <w:sz w:val="20"/>
        </w:rPr>
        <w:t xml:space="preserve">the antenna resistance), the agent calculated a nighttime transmitter output power of 224 </w:t>
      </w:r>
      <w:r>
        <w:rPr>
          <w:sz w:val="20"/>
        </w:rPr>
        <w:t>w</w:t>
      </w:r>
      <w:r w:rsidRPr="00F11C93">
        <w:rPr>
          <w:sz w:val="20"/>
        </w:rPr>
        <w:t>atts (533% of licensed nighttime power).  The agent read the stations base current meter and noted a value of 1.1 amps.</w:t>
      </w:r>
    </w:p>
  </w:footnote>
  <w:footnote w:id="8">
    <w:p w:rsidR="00A24CE8" w:rsidRPr="00F11C93" w:rsidP="008E3BA9" w14:paraId="36F99DF1" w14:textId="53AE639F">
      <w:pPr>
        <w:pStyle w:val="FootnoteText"/>
        <w:spacing w:after="120"/>
        <w:rPr>
          <w:sz w:val="20"/>
        </w:rPr>
      </w:pPr>
      <w:r w:rsidRPr="00F11C93">
        <w:rPr>
          <w:rStyle w:val="FootnoteReference"/>
        </w:rPr>
        <w:footnoteRef/>
      </w:r>
      <w:r w:rsidRPr="00F11C93">
        <w:rPr>
          <w:sz w:val="20"/>
        </w:rPr>
        <w:t xml:space="preserve"> </w:t>
      </w:r>
      <w:bookmarkStart w:id="1" w:name="_Hlk2175622"/>
      <w:r w:rsidRPr="00F11C93">
        <w:rPr>
          <w:sz w:val="20"/>
        </w:rPr>
        <w:t xml:space="preserve">Using the direct method (antenna base current </w:t>
      </w:r>
      <w:r w:rsidR="005F0C8D">
        <w:rPr>
          <w:sz w:val="20"/>
        </w:rPr>
        <w:t xml:space="preserve">and </w:t>
      </w:r>
      <w:r w:rsidRPr="00F11C93">
        <w:rPr>
          <w:sz w:val="20"/>
        </w:rPr>
        <w:t>the antenna resistance), the agent calculated a daytime transmitter output power of 666</w:t>
      </w:r>
      <w:r w:rsidR="00F26EED">
        <w:rPr>
          <w:sz w:val="20"/>
        </w:rPr>
        <w:t>0</w:t>
      </w:r>
      <w:r w:rsidRPr="00F11C93">
        <w:rPr>
          <w:sz w:val="20"/>
        </w:rPr>
        <w:t xml:space="preserve"> </w:t>
      </w:r>
      <w:r w:rsidR="00F26EED">
        <w:rPr>
          <w:sz w:val="20"/>
        </w:rPr>
        <w:t>watts</w:t>
      </w:r>
      <w:r w:rsidRPr="00F11C93">
        <w:rPr>
          <w:sz w:val="20"/>
        </w:rPr>
        <w:t xml:space="preserve"> (74% of licensed daytime power).</w:t>
      </w:r>
      <w:r w:rsidRPr="00F11C93" w:rsidR="007528FF">
        <w:rPr>
          <w:sz w:val="20"/>
        </w:rPr>
        <w:t xml:space="preserve">  The agent read the stations base current meter and noted a value of 6 amps.</w:t>
      </w:r>
      <w:bookmarkEnd w:id="1"/>
    </w:p>
  </w:footnote>
  <w:footnote w:id="9">
    <w:p w:rsidR="006567BF" w:rsidRPr="000F2926" w:rsidP="008E3BA9" w14:paraId="7F70127D" w14:textId="7573CB76">
      <w:pPr>
        <w:pStyle w:val="FootnoteText"/>
        <w:spacing w:after="120"/>
        <w:rPr>
          <w:sz w:val="20"/>
        </w:rPr>
      </w:pPr>
      <w:r w:rsidRPr="000F2926">
        <w:rPr>
          <w:rStyle w:val="FootnoteReference"/>
        </w:rPr>
        <w:footnoteRef/>
      </w:r>
      <w:r w:rsidRPr="000F2926">
        <w:rPr>
          <w:sz w:val="20"/>
        </w:rPr>
        <w:t xml:space="preserve"> 47 U.S.C.</w:t>
      </w:r>
      <w:r w:rsidRPr="007B353C" w:rsidR="007B353C">
        <w:t xml:space="preserve"> </w:t>
      </w:r>
      <w:r w:rsidRPr="007B353C" w:rsidR="007B353C">
        <w:rPr>
          <w:sz w:val="20"/>
        </w:rPr>
        <w:t>§</w:t>
      </w:r>
      <w:r w:rsidRPr="000F2926">
        <w:rPr>
          <w:sz w:val="20"/>
        </w:rPr>
        <w:t xml:space="preserve"> 308(b); </w:t>
      </w:r>
      <w:r w:rsidR="007B353C">
        <w:rPr>
          <w:sz w:val="20"/>
        </w:rPr>
        <w:t xml:space="preserve">47 U.S.C. </w:t>
      </w:r>
      <w:r w:rsidRPr="007B353C" w:rsidR="007B353C">
        <w:rPr>
          <w:sz w:val="20"/>
        </w:rPr>
        <w:t xml:space="preserve">§ </w:t>
      </w:r>
      <w:r w:rsidR="007B353C">
        <w:rPr>
          <w:sz w:val="20"/>
        </w:rPr>
        <w:t xml:space="preserve">403; </w:t>
      </w:r>
      <w:r w:rsidRPr="000F2926">
        <w:rPr>
          <w:sz w:val="20"/>
        </w:rPr>
        <w:t xml:space="preserve">47 CFR </w:t>
      </w:r>
      <w:bookmarkStart w:id="2" w:name="_Hlk4668269"/>
      <w:r w:rsidRPr="000F2926">
        <w:rPr>
          <w:sz w:val="20"/>
        </w:rPr>
        <w:t xml:space="preserve">§ </w:t>
      </w:r>
      <w:bookmarkEnd w:id="2"/>
      <w:r w:rsidRPr="000F2926">
        <w:rPr>
          <w:sz w:val="20"/>
        </w:rPr>
        <w:t>1.89.</w:t>
      </w:r>
    </w:p>
  </w:footnote>
  <w:footnote w:id="10">
    <w:p w:rsidR="00B85282" w:rsidP="008E3BA9" w14:paraId="7B486C40" w14:textId="77777777">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11">
    <w:p w:rsidR="000F2926" w:rsidP="008E3BA9" w14:paraId="240B6A38" w14:textId="1C48D1E9">
      <w:pPr>
        <w:widowControl w:val="0"/>
        <w:autoSpaceDE w:val="0"/>
        <w:autoSpaceDN w:val="0"/>
        <w:adjustRightInd w:val="0"/>
        <w:spacing w:after="120"/>
      </w:pPr>
      <w:r>
        <w:rPr>
          <w:rStyle w:val="FootnoteReference"/>
        </w:rPr>
        <w:footnoteRef/>
      </w:r>
      <w:r>
        <w:t xml:space="preserve"> </w:t>
      </w:r>
      <w:r w:rsidRPr="00D55FBC">
        <w:t xml:space="preserve">Section 1.16 of the </w:t>
      </w:r>
      <w:r>
        <w:t>Commission’s r</w:t>
      </w:r>
      <w:r w:rsidRPr="00D55FBC">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12">
    <w:p w:rsidR="001F3147" w:rsidRPr="0072561F" w:rsidP="008E3BA9" w14:paraId="6C4B93E7" w14:textId="69719DFD">
      <w:pPr>
        <w:pStyle w:val="FootnoteText"/>
        <w:spacing w:after="120"/>
        <w:rPr>
          <w:sz w:val="20"/>
        </w:rPr>
      </w:pPr>
      <w:r>
        <w:rPr>
          <w:rStyle w:val="FootnoteReference"/>
        </w:rPr>
        <w:footnoteRef/>
      </w:r>
      <w:r>
        <w:rPr>
          <w:sz w:val="20"/>
        </w:rPr>
        <w:t xml:space="preserve"> </w:t>
      </w:r>
      <w:r>
        <w:t xml:space="preserve">18 U.S.C. §§ 1001, </w:t>
      </w:r>
      <w:r w:rsidRPr="00D55FBC">
        <w:rPr>
          <w:i/>
        </w:rPr>
        <w:t>et seq</w:t>
      </w:r>
      <w:r>
        <w:t xml:space="preserve">.; </w:t>
      </w:r>
      <w:r>
        <w:rPr>
          <w:i/>
        </w:rPr>
        <w:t xml:space="preserve">see also </w:t>
      </w:r>
      <w:r>
        <w:t>47 CFR § 1.17.</w:t>
      </w:r>
    </w:p>
  </w:footnote>
  <w:footnote w:id="13">
    <w:p w:rsidR="001F3147" w:rsidRPr="00545132" w:rsidP="008E3BA9" w14:paraId="33C5806F" w14:textId="49409183">
      <w:pPr>
        <w:pStyle w:val="FootnoteText"/>
        <w:spacing w:after="120"/>
        <w:rPr>
          <w:sz w:val="20"/>
          <w:lang w:val="it-IT"/>
        </w:rPr>
      </w:pPr>
      <w:r w:rsidRPr="00C64968">
        <w:rPr>
          <w:rStyle w:val="FootnoteReference"/>
        </w:rPr>
        <w:footnoteRef/>
      </w:r>
      <w:r w:rsidRPr="00545132">
        <w:rPr>
          <w:sz w:val="20"/>
          <w:lang w:val="it-IT"/>
        </w:rPr>
        <w:t xml:space="preserve"> </w:t>
      </w:r>
      <w:r w:rsidRPr="00D55FBC">
        <w:t>5 U.S.C. § 552a(e)(3).</w:t>
      </w:r>
    </w:p>
    <w:p w:rsidR="00B85282" w:rsidRPr="00545132" w:rsidP="008E3BA9" w14:paraId="50CF5B70" w14:textId="77777777">
      <w:pPr>
        <w:pStyle w:val="FootnoteText"/>
        <w:spacing w:after="120"/>
        <w:rPr>
          <w:sz w:val="20"/>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2472B074"/>
    <w:lvl w:ilvl="0">
      <w:start w:val="1"/>
      <w:numFmt w:val="decimal"/>
      <w:lvlText w:val="%1."/>
      <w:lvlJc w:val="left"/>
      <w:pPr>
        <w:tabs>
          <w:tab w:val="num" w:pos="1440"/>
        </w:tabs>
        <w:ind w:left="1440" w:hanging="360"/>
      </w:pPr>
      <w:rPr>
        <w:rFonts w:hint="default"/>
        <w:b w:val="0"/>
        <w:i w:val="0"/>
        <w:vertAlign w:val="baseline"/>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2B800759"/>
    <w:multiLevelType w:val="hybridMultilevel"/>
    <w:tmpl w:val="1118276E"/>
    <w:lvl w:ilvl="0">
      <w:start w:val="1"/>
      <w:numFmt w:val="lowerLetter"/>
      <w:lvlText w:val="%1."/>
      <w:lvlJc w:val="left"/>
      <w:pPr>
        <w:tabs>
          <w:tab w:val="num" w:pos="3240"/>
        </w:tabs>
        <w:ind w:left="32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0EC4EBF"/>
    <w:multiLevelType w:val="hybridMultilevel"/>
    <w:tmpl w:val="8C1C9CD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0C610C2"/>
    <w:multiLevelType w:val="hybridMultilevel"/>
    <w:tmpl w:val="2A2AE848"/>
    <w:lvl w:ilvl="0">
      <w:start w:val="1"/>
      <w:numFmt w:val="lowerLetter"/>
      <w:lvlText w:val="%1."/>
      <w:lvlJc w:val="left"/>
      <w:pPr>
        <w:tabs>
          <w:tab w:val="num" w:pos="3240"/>
        </w:tabs>
        <w:ind w:left="32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83"/>
    <w:rsid w:val="000338C0"/>
    <w:rsid w:val="00035FD8"/>
    <w:rsid w:val="00060B97"/>
    <w:rsid w:val="0006742C"/>
    <w:rsid w:val="00073306"/>
    <w:rsid w:val="00077B9D"/>
    <w:rsid w:val="00085442"/>
    <w:rsid w:val="00090AE9"/>
    <w:rsid w:val="000B21C7"/>
    <w:rsid w:val="000C1A39"/>
    <w:rsid w:val="000C4C96"/>
    <w:rsid w:val="000D5C83"/>
    <w:rsid w:val="000D5F63"/>
    <w:rsid w:val="000F0ACD"/>
    <w:rsid w:val="000F2926"/>
    <w:rsid w:val="00107DD2"/>
    <w:rsid w:val="00114C23"/>
    <w:rsid w:val="00164716"/>
    <w:rsid w:val="00175A83"/>
    <w:rsid w:val="00182C8B"/>
    <w:rsid w:val="00187F28"/>
    <w:rsid w:val="00190F97"/>
    <w:rsid w:val="00195E76"/>
    <w:rsid w:val="001C6620"/>
    <w:rsid w:val="001D42E9"/>
    <w:rsid w:val="001F172E"/>
    <w:rsid w:val="001F3147"/>
    <w:rsid w:val="00202C65"/>
    <w:rsid w:val="00221838"/>
    <w:rsid w:val="00235B40"/>
    <w:rsid w:val="00235F65"/>
    <w:rsid w:val="0024386A"/>
    <w:rsid w:val="00244D5A"/>
    <w:rsid w:val="00252FBB"/>
    <w:rsid w:val="00254654"/>
    <w:rsid w:val="00260321"/>
    <w:rsid w:val="00264F91"/>
    <w:rsid w:val="00267465"/>
    <w:rsid w:val="002A2434"/>
    <w:rsid w:val="002B6193"/>
    <w:rsid w:val="002D02F7"/>
    <w:rsid w:val="002E790D"/>
    <w:rsid w:val="00307447"/>
    <w:rsid w:val="00320391"/>
    <w:rsid w:val="00323014"/>
    <w:rsid w:val="00326616"/>
    <w:rsid w:val="003422DD"/>
    <w:rsid w:val="00347258"/>
    <w:rsid w:val="00356E24"/>
    <w:rsid w:val="00366ABE"/>
    <w:rsid w:val="00381BDB"/>
    <w:rsid w:val="00396945"/>
    <w:rsid w:val="003B358F"/>
    <w:rsid w:val="003C26A0"/>
    <w:rsid w:val="003C6839"/>
    <w:rsid w:val="003E5DDD"/>
    <w:rsid w:val="003E6401"/>
    <w:rsid w:val="003F4313"/>
    <w:rsid w:val="0041136F"/>
    <w:rsid w:val="00420A2C"/>
    <w:rsid w:val="00421844"/>
    <w:rsid w:val="00422BD7"/>
    <w:rsid w:val="00431405"/>
    <w:rsid w:val="0044578C"/>
    <w:rsid w:val="004500A1"/>
    <w:rsid w:val="00456CAA"/>
    <w:rsid w:val="004908B4"/>
    <w:rsid w:val="00491418"/>
    <w:rsid w:val="00493119"/>
    <w:rsid w:val="004971D1"/>
    <w:rsid w:val="00497D7F"/>
    <w:rsid w:val="004A0CEE"/>
    <w:rsid w:val="004A5683"/>
    <w:rsid w:val="004C5A56"/>
    <w:rsid w:val="004C5FDD"/>
    <w:rsid w:val="004D00DF"/>
    <w:rsid w:val="004D35E9"/>
    <w:rsid w:val="004F1EC1"/>
    <w:rsid w:val="005014E2"/>
    <w:rsid w:val="00504161"/>
    <w:rsid w:val="005042C0"/>
    <w:rsid w:val="00505582"/>
    <w:rsid w:val="00510AC7"/>
    <w:rsid w:val="005207DD"/>
    <w:rsid w:val="00521502"/>
    <w:rsid w:val="00526FE6"/>
    <w:rsid w:val="005334AF"/>
    <w:rsid w:val="00540543"/>
    <w:rsid w:val="005410A6"/>
    <w:rsid w:val="00545132"/>
    <w:rsid w:val="00552B84"/>
    <w:rsid w:val="00563551"/>
    <w:rsid w:val="00564F45"/>
    <w:rsid w:val="005953D4"/>
    <w:rsid w:val="00596F58"/>
    <w:rsid w:val="005A6BE8"/>
    <w:rsid w:val="005B3619"/>
    <w:rsid w:val="005B433A"/>
    <w:rsid w:val="005B60F7"/>
    <w:rsid w:val="005D5496"/>
    <w:rsid w:val="005D5DC1"/>
    <w:rsid w:val="005D639C"/>
    <w:rsid w:val="005E1D67"/>
    <w:rsid w:val="005F0C8D"/>
    <w:rsid w:val="005F408D"/>
    <w:rsid w:val="005F6D21"/>
    <w:rsid w:val="006014FD"/>
    <w:rsid w:val="00615992"/>
    <w:rsid w:val="00623D1E"/>
    <w:rsid w:val="006567BF"/>
    <w:rsid w:val="006621FA"/>
    <w:rsid w:val="006728ED"/>
    <w:rsid w:val="00682289"/>
    <w:rsid w:val="00682323"/>
    <w:rsid w:val="006912D5"/>
    <w:rsid w:val="006A1637"/>
    <w:rsid w:val="006A231E"/>
    <w:rsid w:val="006A7A43"/>
    <w:rsid w:val="006C3387"/>
    <w:rsid w:val="006D36C3"/>
    <w:rsid w:val="006E2D65"/>
    <w:rsid w:val="006E5D7B"/>
    <w:rsid w:val="0070106B"/>
    <w:rsid w:val="00701309"/>
    <w:rsid w:val="00710912"/>
    <w:rsid w:val="00712860"/>
    <w:rsid w:val="007227E6"/>
    <w:rsid w:val="0072561F"/>
    <w:rsid w:val="0073323C"/>
    <w:rsid w:val="00737B1E"/>
    <w:rsid w:val="007528FF"/>
    <w:rsid w:val="00772381"/>
    <w:rsid w:val="00774178"/>
    <w:rsid w:val="00783123"/>
    <w:rsid w:val="007832A7"/>
    <w:rsid w:val="00794B17"/>
    <w:rsid w:val="00794BC0"/>
    <w:rsid w:val="007A5D28"/>
    <w:rsid w:val="007B353C"/>
    <w:rsid w:val="007C6F4A"/>
    <w:rsid w:val="007D46FC"/>
    <w:rsid w:val="007E19DD"/>
    <w:rsid w:val="007E1EC6"/>
    <w:rsid w:val="007F6B5B"/>
    <w:rsid w:val="00806A66"/>
    <w:rsid w:val="00811A83"/>
    <w:rsid w:val="00815981"/>
    <w:rsid w:val="00822B5B"/>
    <w:rsid w:val="00833AA7"/>
    <w:rsid w:val="00834D13"/>
    <w:rsid w:val="00835F2B"/>
    <w:rsid w:val="00861FB8"/>
    <w:rsid w:val="008908BC"/>
    <w:rsid w:val="00892A66"/>
    <w:rsid w:val="008A1B5D"/>
    <w:rsid w:val="008A5060"/>
    <w:rsid w:val="008B44F7"/>
    <w:rsid w:val="008C6A03"/>
    <w:rsid w:val="008E0DEE"/>
    <w:rsid w:val="008E3BA9"/>
    <w:rsid w:val="00902315"/>
    <w:rsid w:val="00906623"/>
    <w:rsid w:val="00915A56"/>
    <w:rsid w:val="009379DD"/>
    <w:rsid w:val="00941F18"/>
    <w:rsid w:val="00945186"/>
    <w:rsid w:val="009459FA"/>
    <w:rsid w:val="009477FA"/>
    <w:rsid w:val="00957AE1"/>
    <w:rsid w:val="00975596"/>
    <w:rsid w:val="00981A62"/>
    <w:rsid w:val="009B30C5"/>
    <w:rsid w:val="009D0BE6"/>
    <w:rsid w:val="009D4408"/>
    <w:rsid w:val="009D46D8"/>
    <w:rsid w:val="009E4D79"/>
    <w:rsid w:val="009F4AD8"/>
    <w:rsid w:val="009F7E3E"/>
    <w:rsid w:val="00A23067"/>
    <w:rsid w:val="00A2435B"/>
    <w:rsid w:val="00A24CE8"/>
    <w:rsid w:val="00A353EE"/>
    <w:rsid w:val="00A43470"/>
    <w:rsid w:val="00A670F1"/>
    <w:rsid w:val="00A845D3"/>
    <w:rsid w:val="00A90CDA"/>
    <w:rsid w:val="00AA3398"/>
    <w:rsid w:val="00AB6F7F"/>
    <w:rsid w:val="00AC1B3A"/>
    <w:rsid w:val="00AD21A9"/>
    <w:rsid w:val="00AF69B9"/>
    <w:rsid w:val="00B0169D"/>
    <w:rsid w:val="00B040C5"/>
    <w:rsid w:val="00B1371E"/>
    <w:rsid w:val="00B13BF2"/>
    <w:rsid w:val="00B34E61"/>
    <w:rsid w:val="00B57E02"/>
    <w:rsid w:val="00B651A7"/>
    <w:rsid w:val="00B74069"/>
    <w:rsid w:val="00B85282"/>
    <w:rsid w:val="00B87FA8"/>
    <w:rsid w:val="00B967E1"/>
    <w:rsid w:val="00BA65D8"/>
    <w:rsid w:val="00BC5793"/>
    <w:rsid w:val="00C06A5B"/>
    <w:rsid w:val="00C10720"/>
    <w:rsid w:val="00C21F95"/>
    <w:rsid w:val="00C26DA6"/>
    <w:rsid w:val="00C31138"/>
    <w:rsid w:val="00C476B5"/>
    <w:rsid w:val="00C500B6"/>
    <w:rsid w:val="00C50F25"/>
    <w:rsid w:val="00C55D7D"/>
    <w:rsid w:val="00C6082B"/>
    <w:rsid w:val="00C64968"/>
    <w:rsid w:val="00C64F76"/>
    <w:rsid w:val="00C7211E"/>
    <w:rsid w:val="00C771A7"/>
    <w:rsid w:val="00CC1103"/>
    <w:rsid w:val="00CD4DFD"/>
    <w:rsid w:val="00CE16B6"/>
    <w:rsid w:val="00CF4A31"/>
    <w:rsid w:val="00D0357B"/>
    <w:rsid w:val="00D20952"/>
    <w:rsid w:val="00D21652"/>
    <w:rsid w:val="00D224BC"/>
    <w:rsid w:val="00D33181"/>
    <w:rsid w:val="00D42843"/>
    <w:rsid w:val="00D55FBC"/>
    <w:rsid w:val="00D60DEF"/>
    <w:rsid w:val="00D74A92"/>
    <w:rsid w:val="00D96E38"/>
    <w:rsid w:val="00D972B9"/>
    <w:rsid w:val="00DA222E"/>
    <w:rsid w:val="00DA2B31"/>
    <w:rsid w:val="00DB0F0E"/>
    <w:rsid w:val="00DC1760"/>
    <w:rsid w:val="00DD7F80"/>
    <w:rsid w:val="00E2591A"/>
    <w:rsid w:val="00E3193F"/>
    <w:rsid w:val="00E33A9A"/>
    <w:rsid w:val="00E37BD6"/>
    <w:rsid w:val="00E456AF"/>
    <w:rsid w:val="00E4767F"/>
    <w:rsid w:val="00E601A3"/>
    <w:rsid w:val="00E62E83"/>
    <w:rsid w:val="00EB4B5A"/>
    <w:rsid w:val="00EC7267"/>
    <w:rsid w:val="00EE62F1"/>
    <w:rsid w:val="00EE7888"/>
    <w:rsid w:val="00EF40B6"/>
    <w:rsid w:val="00EF7E67"/>
    <w:rsid w:val="00F02974"/>
    <w:rsid w:val="00F11C93"/>
    <w:rsid w:val="00F15C70"/>
    <w:rsid w:val="00F26EED"/>
    <w:rsid w:val="00F30D14"/>
    <w:rsid w:val="00F44FD1"/>
    <w:rsid w:val="00F516B1"/>
    <w:rsid w:val="00F53C4B"/>
    <w:rsid w:val="00F610F6"/>
    <w:rsid w:val="00F72DA4"/>
    <w:rsid w:val="00F855F9"/>
    <w:rsid w:val="00F906B1"/>
    <w:rsid w:val="00FA089B"/>
    <w:rsid w:val="00FA2394"/>
    <w:rsid w:val="00FA4202"/>
    <w:rsid w:val="00FB02DB"/>
    <w:rsid w:val="00FB0FDF"/>
    <w:rsid w:val="00FD75D9"/>
    <w:rsid w:val="00FE012F"/>
    <w:rsid w:val="00FF418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rsid w:val="000D5C83"/>
    <w:rPr>
      <w:rFonts w:ascii="Times New Roman" w:hAnsi="Times New Roman"/>
      <w:sz w:val="20"/>
      <w:vertAlign w:val="superscript"/>
    </w:rPr>
  </w:style>
  <w:style w:type="paragraph" w:styleId="FootnoteText">
    <w:name w:val="footnote text"/>
    <w:basedOn w:val="Normal"/>
    <w:link w:val="FootnoteTextChar"/>
    <w:rsid w:val="000D5C83"/>
    <w:pPr>
      <w:widowControl w:val="0"/>
    </w:pPr>
    <w:rPr>
      <w:snapToGrid w:val="0"/>
      <w:sz w:val="18"/>
    </w:rPr>
  </w:style>
  <w:style w:type="character" w:customStyle="1" w:styleId="FootnoteTextChar">
    <w:name w:val="Footnote Text Char"/>
    <w:basedOn w:val="DefaultParagraphFont"/>
    <w:link w:val="FootnoteText"/>
    <w:rsid w:val="000D5C83"/>
    <w:rPr>
      <w:rFonts w:ascii="Times New Roman" w:eastAsia="Times New Roman" w:hAnsi="Times New Roman" w:cs="Times New Roman"/>
      <w:snapToGrid w:val="0"/>
      <w:sz w:val="18"/>
      <w:szCs w:val="20"/>
    </w:rPr>
  </w:style>
  <w:style w:type="paragraph" w:styleId="Header">
    <w:name w:val="header"/>
    <w:basedOn w:val="Normal"/>
    <w:link w:val="HeaderChar"/>
    <w:uiPriority w:val="99"/>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uiPriority w:val="99"/>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99"/>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D5496"/>
    <w:rPr>
      <w:color w:val="808080"/>
      <w:shd w:val="clear" w:color="auto" w:fill="E6E6E6"/>
    </w:rPr>
  </w:style>
  <w:style w:type="character" w:customStyle="1" w:styleId="NOVBodyindented">
    <w:name w:val="NOV Body indented"/>
    <w:rsid w:val="00DA222E"/>
    <w:rPr>
      <w:sz w:val="22"/>
      <w:szCs w:val="22"/>
    </w:rPr>
  </w:style>
  <w:style w:type="paragraph" w:customStyle="1" w:styleId="NOVMainHeader">
    <w:name w:val="NOV Main Header"/>
    <w:basedOn w:val="Heading2"/>
    <w:rsid w:val="00DA222E"/>
    <w:pPr>
      <w:widowControl/>
      <w:tabs>
        <w:tab w:val="clear" w:pos="5040"/>
        <w:tab w:val="clear" w:pos="5760"/>
        <w:tab w:val="clear" w:pos="6480"/>
        <w:tab w:val="clear" w:pos="7200"/>
        <w:tab w:val="clear" w:pos="7920"/>
        <w:tab w:val="clear" w:pos="8640"/>
        <w:tab w:val="clear" w:pos="9360"/>
      </w:tabs>
      <w:spacing w:line="226" w:lineRule="auto"/>
    </w:pPr>
    <w:rPr>
      <w:snapToGrid/>
    </w:rPr>
  </w:style>
  <w:style w:type="paragraph" w:customStyle="1" w:styleId="ParaNum">
    <w:name w:val="ParaNum"/>
    <w:basedOn w:val="Normal"/>
    <w:rsid w:val="007D46FC"/>
    <w:pPr>
      <w:widowControl w:val="0"/>
      <w:spacing w:after="12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