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3BCB38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2D0EBC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69765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3F201D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63D790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F5A1A2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Wigfield,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FF232D" w:rsidRPr="008A3940" w:rsidP="00BB4E29" w14:paraId="1EA92A2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</w:t>
            </w:r>
            <w:r w:rsidRPr="008A3940" w:rsidR="007A44F8">
              <w:rPr>
                <w:bCs/>
                <w:sz w:val="22"/>
                <w:szCs w:val="22"/>
              </w:rPr>
              <w:t>wi</w:t>
            </w:r>
            <w:r>
              <w:rPr>
                <w:bCs/>
                <w:sz w:val="22"/>
                <w:szCs w:val="22"/>
              </w:rPr>
              <w:t>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AC1C1B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630D31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A1EAB6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6400" w:rsidP="007A083F" w14:paraId="6768A75F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OVER</w:t>
            </w:r>
            <w:r w:rsidR="00950233">
              <w:rPr>
                <w:b/>
                <w:bCs/>
                <w:sz w:val="26"/>
                <w:szCs w:val="26"/>
              </w:rPr>
              <w:t xml:space="preserve"> </w:t>
            </w:r>
            <w:r w:rsidR="00C90852">
              <w:rPr>
                <w:b/>
                <w:bCs/>
                <w:sz w:val="26"/>
                <w:szCs w:val="26"/>
              </w:rPr>
              <w:t>106,000</w:t>
            </w:r>
            <w:r w:rsidR="00945113">
              <w:rPr>
                <w:b/>
                <w:bCs/>
                <w:sz w:val="26"/>
                <w:szCs w:val="26"/>
              </w:rPr>
              <w:t xml:space="preserve"> RURAL HOMES AND BUSINESSES </w:t>
            </w:r>
          </w:p>
          <w:p w:rsidR="00CC5E08" w:rsidP="00945113" w14:paraId="75A2D2BA" w14:textId="11E7099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 GET </w:t>
            </w:r>
            <w:r w:rsidR="00F06400">
              <w:rPr>
                <w:b/>
                <w:bCs/>
                <w:sz w:val="26"/>
                <w:szCs w:val="26"/>
              </w:rPr>
              <w:t xml:space="preserve">BETTER, </w:t>
            </w:r>
            <w:r>
              <w:rPr>
                <w:b/>
                <w:bCs/>
                <w:sz w:val="26"/>
                <w:szCs w:val="26"/>
              </w:rPr>
              <w:t>FASTER BROADBAND</w:t>
            </w:r>
          </w:p>
          <w:p w:rsidR="00F06400" w:rsidP="007A083F" w14:paraId="13BDDEE7" w14:textId="1C6BB15B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Because of FCC Reforms,</w:t>
            </w:r>
            <w:r>
              <w:rPr>
                <w:b/>
                <w:i/>
              </w:rPr>
              <w:t xml:space="preserve"> </w:t>
            </w:r>
            <w:r w:rsidR="00B9728B">
              <w:rPr>
                <w:b/>
                <w:i/>
              </w:rPr>
              <w:t>High</w:t>
            </w:r>
            <w:r w:rsidR="00171329">
              <w:rPr>
                <w:b/>
                <w:i/>
              </w:rPr>
              <w:t>er</w:t>
            </w:r>
            <w:r w:rsidR="00B9728B">
              <w:rPr>
                <w:b/>
                <w:i/>
              </w:rPr>
              <w:t xml:space="preserve">-Speed </w:t>
            </w:r>
            <w:r w:rsidR="00C90852">
              <w:rPr>
                <w:b/>
                <w:i/>
              </w:rPr>
              <w:t>Broadband</w:t>
            </w:r>
            <w:r w:rsidR="00952141">
              <w:rPr>
                <w:b/>
                <w:i/>
              </w:rPr>
              <w:t xml:space="preserve"> Will Reach </w:t>
            </w:r>
          </w:p>
          <w:p w:rsidR="00AA24FA" w:rsidRPr="00952141" w:rsidP="00945113" w14:paraId="027B25E1" w14:textId="772F2086">
            <w:pPr>
              <w:tabs>
                <w:tab w:val="left" w:pos="8625"/>
              </w:tabs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New </w:t>
            </w:r>
            <w:r w:rsidR="00952141">
              <w:rPr>
                <w:b/>
                <w:i/>
              </w:rPr>
              <w:t>Homes and Businesses in 43 States</w:t>
            </w:r>
            <w:r w:rsidR="00BE40B4">
              <w:rPr>
                <w:b/>
                <w:i/>
              </w:rPr>
              <w:t xml:space="preserve"> </w:t>
            </w:r>
          </w:p>
          <w:p w:rsidR="00F61155" w:rsidRPr="006B0A70" w:rsidP="00BB4E29" w14:paraId="4968E96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4B48AF" w:rsidP="00040127" w14:paraId="58CEE4E4" w14:textId="65FFB5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B48AF">
              <w:rPr>
                <w:sz w:val="22"/>
                <w:szCs w:val="22"/>
              </w:rPr>
              <w:t xml:space="preserve">WASHINGTON, </w:t>
            </w:r>
            <w:r w:rsidRPr="004B48AF" w:rsidR="00950233">
              <w:rPr>
                <w:sz w:val="22"/>
                <w:szCs w:val="22"/>
              </w:rPr>
              <w:t xml:space="preserve">April </w:t>
            </w:r>
            <w:r w:rsidRPr="004B48AF" w:rsidR="00C90852">
              <w:rPr>
                <w:sz w:val="22"/>
                <w:szCs w:val="22"/>
              </w:rPr>
              <w:t>29</w:t>
            </w:r>
            <w:r w:rsidRPr="004B48AF" w:rsidR="00065E2D">
              <w:rPr>
                <w:sz w:val="22"/>
                <w:szCs w:val="22"/>
              </w:rPr>
              <w:t>, 201</w:t>
            </w:r>
            <w:r w:rsidRPr="004B48AF" w:rsidR="007475A1">
              <w:rPr>
                <w:sz w:val="22"/>
                <w:szCs w:val="22"/>
              </w:rPr>
              <w:t>9</w:t>
            </w:r>
            <w:r w:rsidRPr="004B48AF" w:rsidR="00D861EE">
              <w:rPr>
                <w:sz w:val="22"/>
                <w:szCs w:val="22"/>
              </w:rPr>
              <w:t>—</w:t>
            </w:r>
            <w:r w:rsidRPr="004B48AF" w:rsidR="00C20F89">
              <w:rPr>
                <w:sz w:val="22"/>
                <w:szCs w:val="22"/>
              </w:rPr>
              <w:t xml:space="preserve">Over </w:t>
            </w:r>
            <w:r w:rsidRPr="004B48AF" w:rsidR="008905B1">
              <w:rPr>
                <w:sz w:val="22"/>
                <w:szCs w:val="22"/>
              </w:rPr>
              <w:t>106,</w:t>
            </w:r>
            <w:r w:rsidRPr="004B48AF" w:rsidR="006E7B51">
              <w:rPr>
                <w:sz w:val="22"/>
                <w:szCs w:val="22"/>
              </w:rPr>
              <w:t>000 rural homes and small businesses in 4</w:t>
            </w:r>
            <w:r w:rsidRPr="004B48AF" w:rsidR="00181BD7">
              <w:rPr>
                <w:sz w:val="22"/>
                <w:szCs w:val="22"/>
              </w:rPr>
              <w:t>3</w:t>
            </w:r>
            <w:r w:rsidRPr="004B48AF" w:rsidR="006E7B51">
              <w:rPr>
                <w:sz w:val="22"/>
                <w:szCs w:val="22"/>
              </w:rPr>
              <w:t xml:space="preserve"> states will get access to improved broadband service due to </w:t>
            </w:r>
            <w:r w:rsidR="00F06400">
              <w:rPr>
                <w:sz w:val="22"/>
                <w:szCs w:val="22"/>
              </w:rPr>
              <w:t xml:space="preserve">recent </w:t>
            </w:r>
            <w:r w:rsidRPr="004B48AF" w:rsidR="006E7B51">
              <w:rPr>
                <w:sz w:val="22"/>
                <w:szCs w:val="22"/>
              </w:rPr>
              <w:t>FCC</w:t>
            </w:r>
            <w:r w:rsidR="00F06400">
              <w:rPr>
                <w:sz w:val="22"/>
                <w:szCs w:val="22"/>
              </w:rPr>
              <w:t xml:space="preserve"> reforms to the Universal Service Fund</w:t>
            </w:r>
            <w:r w:rsidRPr="004B48AF" w:rsidR="006E7B51">
              <w:rPr>
                <w:sz w:val="22"/>
                <w:szCs w:val="22"/>
              </w:rPr>
              <w:t>.</w:t>
            </w:r>
          </w:p>
          <w:p w:rsidR="006E7B51" w:rsidRPr="004B48AF" w:rsidP="00040127" w14:paraId="142FF2D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50233" w:rsidRPr="004B48AF" w:rsidP="00950233" w14:paraId="0E831CA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B48AF">
              <w:rPr>
                <w:sz w:val="22"/>
                <w:szCs w:val="22"/>
              </w:rPr>
              <w:t>“Today’s announcement means that many more rural Americans will have access to high-speed broadband service that will enable them to fully participate in the digital economy—entrepreneurship, telemedicine, precision agriculture, online education, and more,</w:t>
            </w:r>
            <w:r w:rsidRPr="004B48AF" w:rsidR="00C20F89">
              <w:rPr>
                <w:sz w:val="22"/>
                <w:szCs w:val="22"/>
              </w:rPr>
              <w:t>”</w:t>
            </w:r>
            <w:r w:rsidRPr="004B48AF">
              <w:rPr>
                <w:sz w:val="22"/>
                <w:szCs w:val="22"/>
              </w:rPr>
              <w:t xml:space="preserve"> said FCC Chairman Ajit Pai.  “This is yet another example of how the FCC is working hard to close the digital divide.”</w:t>
            </w:r>
          </w:p>
          <w:p w:rsidR="00E434BD" w:rsidRPr="004B48AF" w:rsidP="00950233" w14:paraId="56EF45F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434BD" w:rsidRPr="004B48AF" w:rsidP="00E434BD" w14:paraId="345C65B5" w14:textId="39D71CA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Purs</w:t>
            </w:r>
            <w:r w:rsidR="00672F56">
              <w:rPr>
                <w:sz w:val="22"/>
                <w:szCs w:val="22"/>
              </w:rPr>
              <w:t>uant</w:t>
            </w:r>
            <w:r>
              <w:rPr>
                <w:sz w:val="22"/>
                <w:szCs w:val="22"/>
              </w:rPr>
              <w:t xml:space="preserve"> to new rules adopted by the Commission last December, a</w:t>
            </w:r>
            <w:r w:rsidRPr="004B48AF">
              <w:rPr>
                <w:sz w:val="22"/>
                <w:szCs w:val="22"/>
              </w:rPr>
              <w:t xml:space="preserve"> total of 18</w:t>
            </w:r>
            <w:r w:rsidR="00EA1E08">
              <w:rPr>
                <w:sz w:val="22"/>
                <w:szCs w:val="22"/>
              </w:rPr>
              <w:t>6</w:t>
            </w:r>
            <w:r w:rsidRPr="004B48AF">
              <w:rPr>
                <w:sz w:val="22"/>
                <w:szCs w:val="22"/>
              </w:rPr>
              <w:t xml:space="preserve"> c</w:t>
            </w:r>
            <w:r w:rsidR="00631346">
              <w:rPr>
                <w:sz w:val="22"/>
                <w:szCs w:val="22"/>
              </w:rPr>
              <w:t>ompanies</w:t>
            </w:r>
            <w:r w:rsidR="00EA1E08">
              <w:rPr>
                <w:sz w:val="22"/>
                <w:szCs w:val="22"/>
              </w:rPr>
              <w:t xml:space="preserve"> participating in the FCC’s Alternative Connect America Cost Model (A-CAM) program</w:t>
            </w:r>
            <w:r w:rsidRPr="004B48AF">
              <w:rPr>
                <w:sz w:val="22"/>
                <w:szCs w:val="22"/>
              </w:rPr>
              <w:t xml:space="preserve"> have accepted $65</w:t>
            </w:r>
            <w:r w:rsidRPr="004B48AF" w:rsidR="00C90852">
              <w:rPr>
                <w:sz w:val="22"/>
                <w:szCs w:val="22"/>
              </w:rPr>
              <w:t>.</w:t>
            </w:r>
            <w:r w:rsidRPr="004B48AF">
              <w:rPr>
                <w:sz w:val="22"/>
                <w:szCs w:val="22"/>
              </w:rPr>
              <w:t xml:space="preserve">7 million in additional </w:t>
            </w:r>
            <w:r w:rsidRPr="004B48AF" w:rsidR="00C90852">
              <w:rPr>
                <w:sz w:val="22"/>
                <w:szCs w:val="22"/>
              </w:rPr>
              <w:t xml:space="preserve">annual </w:t>
            </w:r>
            <w:r w:rsidRPr="004B48AF">
              <w:rPr>
                <w:sz w:val="22"/>
                <w:szCs w:val="22"/>
              </w:rPr>
              <w:t>support over the next decade</w:t>
            </w:r>
            <w:r w:rsidRPr="004B48AF" w:rsidR="00541588">
              <w:rPr>
                <w:sz w:val="22"/>
                <w:szCs w:val="22"/>
              </w:rPr>
              <w:t>.</w:t>
            </w:r>
            <w:r w:rsidR="00EA1E08">
              <w:rPr>
                <w:sz w:val="22"/>
                <w:szCs w:val="22"/>
              </w:rPr>
              <w:t xml:space="preserve">  In return, these carriers have committed to deploying </w:t>
            </w:r>
            <w:r w:rsidRPr="004B48AF">
              <w:rPr>
                <w:sz w:val="22"/>
                <w:szCs w:val="22"/>
              </w:rPr>
              <w:t>25</w:t>
            </w:r>
            <w:r w:rsidR="002E4879">
              <w:rPr>
                <w:sz w:val="22"/>
                <w:szCs w:val="22"/>
              </w:rPr>
              <w:t xml:space="preserve">/3 Mbps </w:t>
            </w:r>
            <w:r w:rsidR="00EA1E08">
              <w:rPr>
                <w:sz w:val="22"/>
                <w:szCs w:val="22"/>
              </w:rPr>
              <w:t xml:space="preserve">service to </w:t>
            </w:r>
            <w:r w:rsidRPr="004B48AF" w:rsidR="00C20F89">
              <w:rPr>
                <w:sz w:val="22"/>
                <w:szCs w:val="22"/>
              </w:rPr>
              <w:t xml:space="preserve">106,365 homes and small businesses </w:t>
            </w:r>
            <w:r w:rsidR="00EA1E08">
              <w:rPr>
                <w:sz w:val="22"/>
                <w:szCs w:val="22"/>
              </w:rPr>
              <w:t>that would have otherwise only received slower 10/1 Mbps service.</w:t>
            </w:r>
          </w:p>
          <w:p w:rsidR="00D5412C" w:rsidRPr="004B48AF" w:rsidP="00D5412C" w14:paraId="57B69B15" w14:textId="77777777">
            <w:pPr>
              <w:rPr>
                <w:sz w:val="22"/>
                <w:szCs w:val="22"/>
              </w:rPr>
            </w:pPr>
            <w:bookmarkStart w:id="1" w:name="_Hlk7177648"/>
          </w:p>
          <w:p w:rsidR="00945113" w:rsidRPr="004B48AF" w:rsidP="00D5412C" w14:paraId="136855AA" w14:textId="0D9BDFA0">
            <w:pPr>
              <w:rPr>
                <w:snapToGrid w:val="0"/>
                <w:sz w:val="22"/>
                <w:szCs w:val="22"/>
              </w:rPr>
            </w:pPr>
            <w:r w:rsidRPr="004B48AF">
              <w:rPr>
                <w:sz w:val="22"/>
                <w:szCs w:val="22"/>
              </w:rPr>
              <w:t xml:space="preserve">The boost represents a 31.8% increase in the number of locations </w:t>
            </w:r>
            <w:r w:rsidR="009B7C08">
              <w:rPr>
                <w:sz w:val="22"/>
                <w:szCs w:val="22"/>
              </w:rPr>
              <w:t xml:space="preserve">that will have </w:t>
            </w:r>
            <w:r w:rsidRPr="004B48AF">
              <w:rPr>
                <w:sz w:val="22"/>
                <w:szCs w:val="22"/>
              </w:rPr>
              <w:t xml:space="preserve">faster service </w:t>
            </w:r>
            <w:r w:rsidR="009B7C08">
              <w:rPr>
                <w:sz w:val="22"/>
                <w:szCs w:val="22"/>
              </w:rPr>
              <w:t>available through</w:t>
            </w:r>
            <w:r w:rsidRPr="004B48AF">
              <w:rPr>
                <w:sz w:val="22"/>
                <w:szCs w:val="22"/>
              </w:rPr>
              <w:t xml:space="preserve"> the A-CAM program.  </w:t>
            </w:r>
            <w:bookmarkEnd w:id="1"/>
            <w:r w:rsidRPr="004B48AF">
              <w:rPr>
                <w:sz w:val="22"/>
                <w:szCs w:val="22"/>
              </w:rPr>
              <w:t>C</w:t>
            </w:r>
            <w:r w:rsidRPr="004B48AF" w:rsidR="00950233">
              <w:rPr>
                <w:snapToGrid w:val="0"/>
                <w:sz w:val="22"/>
                <w:szCs w:val="22"/>
              </w:rPr>
              <w:t>arriers</w:t>
            </w:r>
            <w:r w:rsidRPr="004B48AF">
              <w:rPr>
                <w:snapToGrid w:val="0"/>
                <w:sz w:val="22"/>
                <w:szCs w:val="22"/>
              </w:rPr>
              <w:t xml:space="preserve"> must deploy 25/3</w:t>
            </w:r>
            <w:r w:rsidRPr="004B48AF" w:rsidR="007E7629">
              <w:rPr>
                <w:snapToGrid w:val="0"/>
                <w:sz w:val="22"/>
                <w:szCs w:val="22"/>
              </w:rPr>
              <w:t xml:space="preserve"> Mbps</w:t>
            </w:r>
            <w:r w:rsidRPr="004B48AF">
              <w:rPr>
                <w:snapToGrid w:val="0"/>
                <w:sz w:val="22"/>
                <w:szCs w:val="22"/>
              </w:rPr>
              <w:t xml:space="preserve"> service to 40% of locations by end of the 2022, and increase deployment by 10% annually until buildout is complete at the end of 2028.</w:t>
            </w:r>
          </w:p>
          <w:p w:rsidR="00BE154A" w:rsidP="007A083F" w14:paraId="24AB16DA" w14:textId="77777777">
            <w:pPr>
              <w:pStyle w:val="ParaNum"/>
              <w:widowControl/>
              <w:numPr>
                <w:ilvl w:val="0"/>
                <w:numId w:val="0"/>
              </w:numPr>
              <w:tabs>
                <w:tab w:val="left" w:pos="1440"/>
              </w:tabs>
              <w:spacing w:after="0"/>
              <w:rPr>
                <w:szCs w:val="22"/>
              </w:rPr>
            </w:pPr>
          </w:p>
          <w:p w:rsidR="00356066" w:rsidP="007A083F" w14:paraId="52987698" w14:textId="321E6544">
            <w:pPr>
              <w:pStyle w:val="ParaNum"/>
              <w:widowControl/>
              <w:numPr>
                <w:ilvl w:val="0"/>
                <w:numId w:val="0"/>
              </w:numPr>
              <w:tabs>
                <w:tab w:val="left" w:pos="1440"/>
              </w:tabs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chart below </w:t>
            </w:r>
            <w:r w:rsidR="00BE40B4">
              <w:rPr>
                <w:szCs w:val="22"/>
              </w:rPr>
              <w:t xml:space="preserve">details the </w:t>
            </w:r>
            <w:r>
              <w:rPr>
                <w:szCs w:val="22"/>
              </w:rPr>
              <w:t xml:space="preserve">impact of the additional funding by state: </w:t>
            </w:r>
          </w:p>
          <w:p w:rsidR="00BE154A" w:rsidP="007A083F" w14:paraId="3E0A9769" w14:textId="77777777">
            <w:pPr>
              <w:pStyle w:val="ParaNum"/>
              <w:widowControl/>
              <w:numPr>
                <w:ilvl w:val="0"/>
                <w:numId w:val="0"/>
              </w:numPr>
              <w:tabs>
                <w:tab w:val="left" w:pos="1440"/>
              </w:tabs>
              <w:spacing w:after="0"/>
              <w:rPr>
                <w:szCs w:val="22"/>
              </w:rPr>
            </w:pPr>
          </w:p>
          <w:tbl>
            <w:tblPr>
              <w:tblW w:w="8414" w:type="dxa"/>
              <w:tblLook w:val="04A0"/>
            </w:tblPr>
            <w:tblGrid>
              <w:gridCol w:w="1682"/>
              <w:gridCol w:w="1683"/>
              <w:gridCol w:w="1683"/>
              <w:gridCol w:w="1683"/>
              <w:gridCol w:w="1683"/>
            </w:tblGrid>
            <w:tr w14:paraId="7A3892E8" w14:textId="77777777" w:rsidTr="007A083F">
              <w:tblPrEx>
                <w:tblW w:w="8414" w:type="dxa"/>
                <w:tblLook w:val="04A0"/>
              </w:tblPrEx>
              <w:trPr>
                <w:trHeight w:val="600"/>
              </w:trPr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D32BE" w:rsidP="000D32BE" w14:paraId="375F6A1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0D32BE" w:rsidP="000D32BE" w14:paraId="6275D11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Previous 25/3 Mbps Obligation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0D32BE" w:rsidP="000D32BE" w14:paraId="5CE440C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 25/3 Mbps Obligation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F06400" w:rsidP="000D32BE" w14:paraId="4F4C1DD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Difference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(number of households/</w:t>
                  </w:r>
                </w:p>
                <w:p w:rsidR="000D32BE" w:rsidP="000D32BE" w14:paraId="3B967DDE" w14:textId="38C3EC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businesses)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D32BE" w:rsidP="000D32BE" w14:paraId="17678A7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Difference %</w:t>
                  </w:r>
                </w:p>
              </w:tc>
            </w:tr>
            <w:tr w14:paraId="3CD1B9F4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768C2A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AK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900113A" w14:textId="68492C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1,670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2A1BD61" w14:textId="3D7C08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3,778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1EB0DE1" w14:textId="31294EE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2,108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18029D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126.2%</w:t>
                  </w:r>
                </w:p>
              </w:tc>
            </w:tr>
            <w:tr w14:paraId="59477BCD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4D79CD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EA967E1" w14:textId="7B85146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18,816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4031946" w14:textId="712EBE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21,986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5ED7A0E" w14:textId="2C12913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3,170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2704D0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16.8%</w:t>
                  </w:r>
                </w:p>
              </w:tc>
            </w:tr>
            <w:tr w14:paraId="0954715C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665504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7C651DF" w14:textId="758664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9,377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E3F9ED2" w14:textId="5E1513B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12,018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9BCAAB7" w14:textId="101B7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2,641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5EE12C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28.2%</w:t>
                  </w:r>
                </w:p>
              </w:tc>
            </w:tr>
            <w:tr w14:paraId="12A07B1C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78D87F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AZ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BA55196" w14:textId="116D89C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1,353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037DF4D" w14:textId="2F6652C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2,903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A7E77D2" w14:textId="65646D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1,550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0C78E0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114.6%</w:t>
                  </w:r>
                </w:p>
              </w:tc>
            </w:tr>
            <w:tr w14:paraId="6D1DCAEE" w14:textId="77777777" w:rsidTr="007A083F">
              <w:tblPrEx>
                <w:tblW w:w="8414" w:type="dxa"/>
                <w:tblLook w:val="04A0"/>
              </w:tblPrEx>
              <w:trPr>
                <w:trHeight w:val="600"/>
              </w:trPr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D32BE" w:rsidP="00F06400" w14:paraId="319FAF7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0D32BE" w:rsidP="00F06400" w14:paraId="561B87A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Previous 25/3 Mbps Obligation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0D32BE" w:rsidP="00F06400" w14:paraId="7930E61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New 25/3 Mbps Obligation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D32BE" w:rsidP="00F06400" w14:paraId="63F6FB6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Difference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0D32BE" w:rsidP="00F06400" w14:paraId="1518A27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Difference %</w:t>
                  </w:r>
                </w:p>
              </w:tc>
            </w:tr>
            <w:tr w14:paraId="044EAA25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AFEF78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26B0BFA" w14:textId="5CD5DFE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1,316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FB73B0E" w14:textId="578C616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1,937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3615BA2" w14:textId="79922E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9051DA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47.2%</w:t>
                  </w:r>
                </w:p>
              </w:tc>
            </w:tr>
            <w:tr w14:paraId="755FBF3C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8E1FC3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094F130" w14:textId="4A27A9A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1,981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CF5B547" w14:textId="353E168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3,225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9381B91" w14:textId="5468D6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1,244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8865B0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62.8%</w:t>
                  </w:r>
                </w:p>
              </w:tc>
            </w:tr>
            <w:tr w14:paraId="1D0D0F34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53865D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FL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FA8E645" w14:textId="51F0AB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1,364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D9698D7" w14:textId="1C76627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1,545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5725DA6" w14:textId="35BFB5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F7F989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13.3%</w:t>
                  </w:r>
                </w:p>
              </w:tc>
            </w:tr>
            <w:tr w14:paraId="3EF64A9A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90D028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326B735" w14:textId="0FE6553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13,607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F4F2EA5" w14:textId="126A1CC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15,758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BBD20DF" w14:textId="5E91D8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2,151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1A2D5F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15.8%</w:t>
                  </w:r>
                </w:p>
              </w:tc>
            </w:tr>
            <w:tr w14:paraId="1EBCCDBE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998DDCD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881AB82" w14:textId="171CB9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8,886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19D703F" w14:textId="05AA23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13,075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FE7E871" w14:textId="799634E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4,189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ECD22C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47.1%</w:t>
                  </w:r>
                </w:p>
              </w:tc>
            </w:tr>
            <w:tr w14:paraId="512B1FF2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C2DBF9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ID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21B442B" w14:textId="18BEEC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3,505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B12F053" w14:textId="0AA6F95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5,444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09A7DA9" w14:textId="3E8333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1,939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1D3B09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55.3%</w:t>
                  </w:r>
                </w:p>
              </w:tc>
            </w:tr>
            <w:tr w14:paraId="497C4A3A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E75677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9105225" w14:textId="25734EF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4,408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22C3B93" w14:textId="6F9B868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6,320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5F619B1" w14:textId="3A6BF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1,912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D448A5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43.4%</w:t>
                  </w:r>
                </w:p>
              </w:tc>
            </w:tr>
            <w:tr w14:paraId="6E658113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038817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2CA94E1" w14:textId="7B61C2B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5,532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0BE6ADB" w14:textId="48E13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6,373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4163BB5" w14:textId="761191C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3FD7B0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15.2%</w:t>
                  </w:r>
                </w:p>
              </w:tc>
            </w:tr>
            <w:tr w14:paraId="6CB1AC53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715A55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KS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4741887" w14:textId="2585C8F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1,410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4DDAF70" w14:textId="6D2F15C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2,713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7A01E9A" w14:textId="2368BEA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1,303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4C2B549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92.4%</w:t>
                  </w:r>
                </w:p>
              </w:tc>
            </w:tr>
            <w:tr w14:paraId="1F33D26A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72CE14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KY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FCAC3F3" w14:textId="52B546E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3,643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0CBF773" w14:textId="1214EA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4,233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BE0DD21" w14:textId="3B63312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C90199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16.2%</w:t>
                  </w:r>
                </w:p>
              </w:tc>
            </w:tr>
            <w:tr w14:paraId="0A1A89F4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21BE45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31350B8" w14:textId="19B584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1,001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70C7364" w14:textId="6B4FFB1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1,357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3B3A748" w14:textId="16DD8C9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E255AD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35.6%</w:t>
                  </w:r>
                </w:p>
              </w:tc>
            </w:tr>
            <w:tr w14:paraId="6BA1D354" w14:textId="77777777" w:rsidTr="007A083F">
              <w:tblPrEx>
                <w:tblW w:w="8414" w:type="dxa"/>
                <w:tblLook w:val="04A0"/>
              </w:tblPrEx>
              <w:trPr>
                <w:trHeight w:val="305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72B10AF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A2BE883" w14:textId="4C68590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183A262" w14:textId="5A2CFE6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1F97DA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B56CA7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9.1%</w:t>
                  </w:r>
                </w:p>
              </w:tc>
            </w:tr>
            <w:tr w14:paraId="75568277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A351BC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2776841" w14:textId="487B38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6,427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9E7399D" w14:textId="3D0315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7,477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69A1820" w14:textId="584C46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1,050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09C402B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16.3%</w:t>
                  </w:r>
                </w:p>
              </w:tc>
            </w:tr>
            <w:tr w14:paraId="4A6C22F9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2D80F1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5C687CC" w14:textId="319D60C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9,471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C544C51" w14:textId="3C6FBA8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14,560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9008389" w14:textId="0A8578E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5,089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3C2FCE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53.7%</w:t>
                  </w:r>
                </w:p>
              </w:tc>
            </w:tr>
            <w:tr w14:paraId="342716B1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1867F21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MN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FC7D235" w14:textId="4BABCCF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43,241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FD7FE16" w14:textId="6DAE9D4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54,599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C3B9319" w14:textId="3B018D3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11,358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486D85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26.3%</w:t>
                  </w:r>
                </w:p>
              </w:tc>
            </w:tr>
            <w:tr w14:paraId="43A8585E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A9E52E6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6DF3027" w14:textId="4F29065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7,093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B46FF8A" w14:textId="2357095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11,175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DC633E4" w14:textId="09AFE45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4,082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7C174BE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57.5%</w:t>
                  </w:r>
                </w:p>
              </w:tc>
            </w:tr>
            <w:tr w14:paraId="5A202D42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C52E29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MS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2CBAFE6" w14:textId="57502B0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17,894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B27B364" w14:textId="4F8A2E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22,043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D19DCF2" w14:textId="4EF91A4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4,149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43E03B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23.2%</w:t>
                  </w:r>
                </w:p>
              </w:tc>
            </w:tr>
            <w:tr w14:paraId="3E20A640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F753145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MT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DEFD3F1" w14:textId="70B5862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5,309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4A2C761" w14:textId="12F717C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10,907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3C78D69" w14:textId="5D607FD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5,598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988BF5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105.4%</w:t>
                  </w:r>
                </w:p>
              </w:tc>
            </w:tr>
            <w:tr w14:paraId="28C992EF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596A997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ND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FF4AC24" w14:textId="5FAFEFB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687CDA4F" w14:textId="40930E1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874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8D00502" w14:textId="167AB72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F5CDE50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168.9%</w:t>
                  </w:r>
                </w:p>
              </w:tc>
            </w:tr>
            <w:tr w14:paraId="65804502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81695A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7577A4F8" w14:textId="6DC706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5,582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A00A99F" w14:textId="4BB608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11,208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677DF0D" w14:textId="215CDD4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5,626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FB4C898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100.8%</w:t>
                  </w:r>
                </w:p>
              </w:tc>
            </w:tr>
            <w:tr w14:paraId="4320D25F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04E45D1C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NH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7D4A68E" w14:textId="71C3E8D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1,407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40675F2" w14:textId="1A9EF6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1,595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6E78F05" w14:textId="2AA48DC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3C667EF2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13.4%</w:t>
                  </w:r>
                </w:p>
              </w:tc>
            </w:tr>
            <w:tr w14:paraId="078CF243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D3352CA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NM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4FBE5C7" w14:textId="6A1DEB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1,384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EAAC755" w14:textId="48DEE14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3,087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8ADB8A9" w14:textId="315A59D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1,703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B91E863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123.0%</w:t>
                  </w:r>
                </w:p>
              </w:tc>
            </w:tr>
            <w:tr w14:paraId="43F50FEF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536B51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NV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5ECD97B5" w14:textId="61AD22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1,424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1041D39F" w14:textId="1CEC33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2,540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48603E92" w14:textId="238516A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1,116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32BE" w:rsidP="007A083F" w14:paraId="2F4D4FA4" w14:textId="777777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78.4%</w:t>
                  </w:r>
                </w:p>
              </w:tc>
            </w:tr>
            <w:tr w14:paraId="1F03F855" w14:textId="77777777" w:rsidTr="007A083F">
              <w:tblPrEx>
                <w:tblW w:w="8414" w:type="dxa"/>
                <w:tblLook w:val="04A0"/>
              </w:tblPrEx>
              <w:trPr>
                <w:trHeight w:val="287"/>
                <w:tblHeader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F06400" w14:paraId="5425BDE0" w14:textId="7477F3B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NY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83F" w:rsidP="00F06400" w14:paraId="46F20CA5" w14:textId="40125BC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18,544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083F" w:rsidP="00F9681F" w14:paraId="4EDC00B7" w14:textId="10C3EC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21,324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14:paraId="69144019" w14:textId="776E36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2,780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14:paraId="48EBF432" w14:textId="4C0FFFB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15.0%</w:t>
                  </w:r>
                </w:p>
              </w:tc>
            </w:tr>
            <w:tr w14:paraId="1983ACC7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65AAA5E" w14:textId="654004A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OH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F46E205" w14:textId="70D974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4,206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D5995B0" w14:textId="1060B2D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4,834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0D0396F" w14:textId="5BFB8B0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F382F84" w14:textId="0A2D29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14.9%</w:t>
                  </w:r>
                </w:p>
              </w:tc>
            </w:tr>
            <w:tr w14:paraId="72F7EFF2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B880F41" w14:textId="10E660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DBE1CF5" w14:textId="141891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20,029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169D604" w14:textId="3EB02D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27,753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44450B0" w14:textId="01372A9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7,724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BD845BB" w14:textId="1540B09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38.6%</w:t>
                  </w:r>
                </w:p>
              </w:tc>
            </w:tr>
            <w:tr w14:paraId="51D1D52F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CBD0F07" w14:textId="0F3CCCE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BF6399C" w14:textId="7F767C7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4,420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00D0D1B" w14:textId="1D0614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6,492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FBCB353" w14:textId="1FB1D1F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2,072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5387449" w14:textId="64D0DF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46.9%</w:t>
                  </w:r>
                </w:p>
              </w:tc>
            </w:tr>
            <w:tr w14:paraId="4720956D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9EC3C8B" w14:textId="452B3E5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6DBA3D8" w14:textId="53F7CD1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9,863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3297F57" w14:textId="2B5101F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11,325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A071FC5" w14:textId="52B4F1A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1,462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E5AA961" w14:textId="03E3544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14.8%</w:t>
                  </w:r>
                </w:p>
              </w:tc>
            </w:tr>
            <w:tr w14:paraId="203249A9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811505D" w14:textId="4DECF3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SC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B44CA7D" w14:textId="550BEFA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3,739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918FAEB" w14:textId="5DDA25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4,260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E5EFD96" w14:textId="5F1999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D3332D8" w14:textId="07F566D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13.9%</w:t>
                  </w:r>
                </w:p>
              </w:tc>
            </w:tr>
            <w:tr w14:paraId="0845490A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4408CEB" w14:textId="346FB1C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SD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B6AF9DF" w14:textId="0F5FA7E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1,685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200CC6F" w14:textId="4A05486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3,423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3AF91E0" w14:textId="44BCA5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1,738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17BDFCC" w14:textId="31D9964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103.1%</w:t>
                  </w:r>
                </w:p>
              </w:tc>
            </w:tr>
            <w:tr w14:paraId="2112CB11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50FB363" w14:textId="4FB42B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TN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661CF7F" w14:textId="2729048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22,225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161F3EF" w14:textId="52BD4B4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25,276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5D7E586" w14:textId="1BC45E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3,051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68D2D61" w14:textId="1055848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13.7%</w:t>
                  </w:r>
                </w:p>
              </w:tc>
            </w:tr>
            <w:tr w14:paraId="389F3738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9050325" w14:textId="24131A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TX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0569696" w14:textId="7BE711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14,306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4DB9A70" w14:textId="6BAFF6A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21,331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7C07907" w14:textId="33D2A60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7,025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DEFEE8C" w14:textId="183F920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49.1%</w:t>
                  </w:r>
                </w:p>
              </w:tc>
            </w:tr>
            <w:tr w14:paraId="12017B71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F162853" w14:textId="7E93F62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015CED9" w14:textId="076349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2,582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FAD1460" w14:textId="64D265B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5,596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DF393E6" w14:textId="46A272D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3,014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47D9D1E" w14:textId="34B0B16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116.7%</w:t>
                  </w:r>
                </w:p>
              </w:tc>
            </w:tr>
            <w:tr w14:paraId="6A2A1E7E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DE9551F" w14:textId="676166D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B737381" w14:textId="324894F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10,913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723159E" w14:textId="48D3729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12,688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80154F9" w14:textId="40983D8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1,775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62590A1" w14:textId="6A1E463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16.3%</w:t>
                  </w:r>
                </w:p>
              </w:tc>
            </w:tr>
            <w:tr w14:paraId="3191702B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6CE0B5D7" w14:textId="79EECC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VT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3ACF2CB" w14:textId="4DF45F1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CEB08A0" w14:textId="4E293A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FB6A269" w14:textId="057C1A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C819081" w14:textId="4978F8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13.2%</w:t>
                  </w:r>
                </w:p>
              </w:tc>
            </w:tr>
            <w:tr w14:paraId="37C509DC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388EA27" w14:textId="300CF7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68BAD6A" w14:textId="38AE785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3,010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7888DC7" w14:textId="1BB8A79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4,095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CB3F611" w14:textId="4140551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1,085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EF3BDCD" w14:textId="77B84E7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36.0%</w:t>
                  </w:r>
                </w:p>
              </w:tc>
            </w:tr>
            <w:tr w14:paraId="1D576D45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D181318" w14:textId="65A5EE4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FA12ED9" w14:textId="510B619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36,887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58F1E57" w14:textId="26C38A8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43,146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E8BAB78" w14:textId="16AA4B7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6,259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F3E1FD1" w14:textId="10D258E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17.0%</w:t>
                  </w:r>
                </w:p>
              </w:tc>
            </w:tr>
            <w:tr w14:paraId="3193F62B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3E07A976" w14:textId="50E0B32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WV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6FCF2F3" w14:textId="44039A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2,975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101415F" w14:textId="451F935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3,809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835C555" w14:textId="04D22D7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834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1E03668" w14:textId="69EEA27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28.0%</w:t>
                  </w:r>
                </w:p>
              </w:tc>
            </w:tr>
            <w:tr w14:paraId="1D0814BA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457A6EA" w14:textId="5161C92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01AB29F1" w14:textId="3B9F616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E74A83E" w14:textId="2CDD89D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1,858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7C671402" w14:textId="406193C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9779E7E" w14:textId="15292F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114.5%</w:t>
                  </w:r>
                </w:p>
              </w:tc>
            </w:tr>
            <w:tr w14:paraId="7D8DC602" w14:textId="77777777" w:rsidTr="007A083F">
              <w:tblPrEx>
                <w:tblW w:w="8414" w:type="dxa"/>
                <w:tblLook w:val="04A0"/>
              </w:tblPrEx>
              <w:trPr>
                <w:trHeight w:val="300"/>
              </w:trPr>
              <w:tc>
                <w:tcPr>
                  <w:tcW w:w="1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A0FEBF3" w14:textId="37D85FB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083F">
                    <w:rPr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2FDBB4F3" w14:textId="79CE378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083F">
                    <w:rPr>
                      <w:b/>
                      <w:color w:val="000000"/>
                      <w:sz w:val="22"/>
                      <w:szCs w:val="22"/>
                    </w:rPr>
                    <w:t>334,443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1AB9A8CB" w14:textId="7BAC7A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083F">
                    <w:rPr>
                      <w:b/>
                      <w:color w:val="000000"/>
                      <w:sz w:val="22"/>
                      <w:szCs w:val="22"/>
                    </w:rPr>
                    <w:t>440,808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5F8D3768" w14:textId="677BBE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083F">
                    <w:rPr>
                      <w:b/>
                      <w:color w:val="000000"/>
                      <w:sz w:val="22"/>
                      <w:szCs w:val="22"/>
                    </w:rPr>
                    <w:t>106,365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083F" w:rsidP="007A083F" w14:paraId="47936B72" w14:textId="559A2D1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A083F">
                    <w:rPr>
                      <w:b/>
                      <w:color w:val="000000"/>
                      <w:sz w:val="22"/>
                      <w:szCs w:val="22"/>
                    </w:rPr>
                    <w:t>31.8%</w:t>
                  </w:r>
                </w:p>
              </w:tc>
            </w:tr>
          </w:tbl>
          <w:p w:rsidR="000D32BE" w:rsidP="00DA7B44" w14:paraId="25EE958B" w14:textId="4BF8DF30">
            <w:pPr>
              <w:rPr>
                <w:rStyle w:val="Hyperlink"/>
                <w:sz w:val="22"/>
                <w:szCs w:val="22"/>
              </w:rPr>
            </w:pPr>
          </w:p>
          <w:p w:rsidR="007A083F" w:rsidP="00DA7B44" w14:paraId="25972056" w14:textId="77777777">
            <w:pPr>
              <w:rPr>
                <w:rStyle w:val="Hyperlink"/>
                <w:sz w:val="22"/>
                <w:szCs w:val="22"/>
              </w:rPr>
            </w:pPr>
          </w:p>
          <w:p w:rsidR="004F0F1F" w:rsidRPr="007475A1" w:rsidP="00850E26" w14:paraId="4CEBC61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C1C57D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661F4D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6FAEF5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6405D4A5" w14:textId="77777777" w:rsidTr="00577CC8">
        <w:tblPrEx>
          <w:tblW w:w="0" w:type="auto"/>
          <w:tblLook w:val="0000"/>
        </w:tblPrEx>
        <w:trPr>
          <w:trHeight w:val="900"/>
        </w:trPr>
        <w:tc>
          <w:tcPr>
            <w:tcW w:w="8856" w:type="dxa"/>
          </w:tcPr>
          <w:p w:rsidR="00356066" w:rsidP="006A7D75" w14:paraId="393FEA21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EBBA3EB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51"/>
    <w:rsid w:val="0002500C"/>
    <w:rsid w:val="000311FC"/>
    <w:rsid w:val="00040127"/>
    <w:rsid w:val="00060A22"/>
    <w:rsid w:val="00065E2D"/>
    <w:rsid w:val="00081232"/>
    <w:rsid w:val="00091E65"/>
    <w:rsid w:val="00096D4A"/>
    <w:rsid w:val="000A38EA"/>
    <w:rsid w:val="000C1E47"/>
    <w:rsid w:val="000C26F3"/>
    <w:rsid w:val="000D2F84"/>
    <w:rsid w:val="000D32BE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1329"/>
    <w:rsid w:val="001733A6"/>
    <w:rsid w:val="00181BD7"/>
    <w:rsid w:val="001865A9"/>
    <w:rsid w:val="00187DB2"/>
    <w:rsid w:val="001B20BB"/>
    <w:rsid w:val="001C4370"/>
    <w:rsid w:val="001C6806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5DC8"/>
    <w:rsid w:val="002B1013"/>
    <w:rsid w:val="002D03E5"/>
    <w:rsid w:val="002E3F1D"/>
    <w:rsid w:val="002E4879"/>
    <w:rsid w:val="002F31D0"/>
    <w:rsid w:val="00300359"/>
    <w:rsid w:val="0031773E"/>
    <w:rsid w:val="00333871"/>
    <w:rsid w:val="00333C5F"/>
    <w:rsid w:val="00347716"/>
    <w:rsid w:val="003506E1"/>
    <w:rsid w:val="00356066"/>
    <w:rsid w:val="003727E3"/>
    <w:rsid w:val="00385A93"/>
    <w:rsid w:val="003910F1"/>
    <w:rsid w:val="003C6EC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8AF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1588"/>
    <w:rsid w:val="00545DAE"/>
    <w:rsid w:val="00571B83"/>
    <w:rsid w:val="00575A00"/>
    <w:rsid w:val="00577CC8"/>
    <w:rsid w:val="0058673C"/>
    <w:rsid w:val="005A7972"/>
    <w:rsid w:val="005B17E7"/>
    <w:rsid w:val="005B2643"/>
    <w:rsid w:val="005B3B47"/>
    <w:rsid w:val="005D17FD"/>
    <w:rsid w:val="005F0D55"/>
    <w:rsid w:val="005F183E"/>
    <w:rsid w:val="005F357C"/>
    <w:rsid w:val="00600DDA"/>
    <w:rsid w:val="00604211"/>
    <w:rsid w:val="00613498"/>
    <w:rsid w:val="00615DDC"/>
    <w:rsid w:val="00617B94"/>
    <w:rsid w:val="00620BED"/>
    <w:rsid w:val="00631346"/>
    <w:rsid w:val="006415B4"/>
    <w:rsid w:val="00644E3D"/>
    <w:rsid w:val="00651B9E"/>
    <w:rsid w:val="00652019"/>
    <w:rsid w:val="00655915"/>
    <w:rsid w:val="00657EC9"/>
    <w:rsid w:val="00665544"/>
    <w:rsid w:val="00665633"/>
    <w:rsid w:val="00672F56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B13"/>
    <w:rsid w:val="006D5D22"/>
    <w:rsid w:val="006E0324"/>
    <w:rsid w:val="006E4A76"/>
    <w:rsid w:val="006E7B51"/>
    <w:rsid w:val="006F1DBD"/>
    <w:rsid w:val="00700556"/>
    <w:rsid w:val="0070589A"/>
    <w:rsid w:val="007140C8"/>
    <w:rsid w:val="007167DD"/>
    <w:rsid w:val="00722EBA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82497"/>
    <w:rsid w:val="00793D6F"/>
    <w:rsid w:val="00794090"/>
    <w:rsid w:val="007A083F"/>
    <w:rsid w:val="007A2349"/>
    <w:rsid w:val="007A44F8"/>
    <w:rsid w:val="007D21BF"/>
    <w:rsid w:val="007E7629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05B1"/>
    <w:rsid w:val="008960E4"/>
    <w:rsid w:val="008A3940"/>
    <w:rsid w:val="008B13C9"/>
    <w:rsid w:val="008C14F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5113"/>
    <w:rsid w:val="00950233"/>
    <w:rsid w:val="00952141"/>
    <w:rsid w:val="00961620"/>
    <w:rsid w:val="009734B6"/>
    <w:rsid w:val="0098096F"/>
    <w:rsid w:val="0098437A"/>
    <w:rsid w:val="00986C92"/>
    <w:rsid w:val="00993C47"/>
    <w:rsid w:val="009972BC"/>
    <w:rsid w:val="009B4B16"/>
    <w:rsid w:val="009B5A30"/>
    <w:rsid w:val="009B7C08"/>
    <w:rsid w:val="009E54A1"/>
    <w:rsid w:val="009F4E25"/>
    <w:rsid w:val="009F5B1F"/>
    <w:rsid w:val="00A225A9"/>
    <w:rsid w:val="00A3308E"/>
    <w:rsid w:val="00A35DFD"/>
    <w:rsid w:val="00A702DF"/>
    <w:rsid w:val="00A74858"/>
    <w:rsid w:val="00A775A3"/>
    <w:rsid w:val="00A81700"/>
    <w:rsid w:val="00A81B5B"/>
    <w:rsid w:val="00A82FAD"/>
    <w:rsid w:val="00A9673A"/>
    <w:rsid w:val="00A96EF2"/>
    <w:rsid w:val="00A97FF1"/>
    <w:rsid w:val="00AA24FA"/>
    <w:rsid w:val="00AA371C"/>
    <w:rsid w:val="00AA5C35"/>
    <w:rsid w:val="00AA5ED9"/>
    <w:rsid w:val="00AB2259"/>
    <w:rsid w:val="00AC0A38"/>
    <w:rsid w:val="00AC4E0E"/>
    <w:rsid w:val="00AC517B"/>
    <w:rsid w:val="00AD0D19"/>
    <w:rsid w:val="00AF051B"/>
    <w:rsid w:val="00B037A2"/>
    <w:rsid w:val="00B31870"/>
    <w:rsid w:val="00B320B8"/>
    <w:rsid w:val="00B35ECA"/>
    <w:rsid w:val="00B35EE2"/>
    <w:rsid w:val="00B36DEF"/>
    <w:rsid w:val="00B57131"/>
    <w:rsid w:val="00B62F2C"/>
    <w:rsid w:val="00B727C9"/>
    <w:rsid w:val="00B735C8"/>
    <w:rsid w:val="00B76A63"/>
    <w:rsid w:val="00B9728B"/>
    <w:rsid w:val="00BA6350"/>
    <w:rsid w:val="00BB4E29"/>
    <w:rsid w:val="00BB74C9"/>
    <w:rsid w:val="00BC3AB6"/>
    <w:rsid w:val="00BD19E8"/>
    <w:rsid w:val="00BD4273"/>
    <w:rsid w:val="00BE154A"/>
    <w:rsid w:val="00BE40B4"/>
    <w:rsid w:val="00C20F89"/>
    <w:rsid w:val="00C31ED8"/>
    <w:rsid w:val="00C432E4"/>
    <w:rsid w:val="00C70C26"/>
    <w:rsid w:val="00C72001"/>
    <w:rsid w:val="00C772B7"/>
    <w:rsid w:val="00C80347"/>
    <w:rsid w:val="00C90852"/>
    <w:rsid w:val="00C97C4A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412C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14F6"/>
    <w:rsid w:val="00E349AA"/>
    <w:rsid w:val="00E41390"/>
    <w:rsid w:val="00E41CA0"/>
    <w:rsid w:val="00E434BD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1E08"/>
    <w:rsid w:val="00EA290B"/>
    <w:rsid w:val="00EB166E"/>
    <w:rsid w:val="00EE0E90"/>
    <w:rsid w:val="00EF3BCA"/>
    <w:rsid w:val="00EF729B"/>
    <w:rsid w:val="00F01B0D"/>
    <w:rsid w:val="00F06400"/>
    <w:rsid w:val="00F06E56"/>
    <w:rsid w:val="00F1238F"/>
    <w:rsid w:val="00F16485"/>
    <w:rsid w:val="00F228ED"/>
    <w:rsid w:val="00F26E31"/>
    <w:rsid w:val="00F27C6C"/>
    <w:rsid w:val="00F344B9"/>
    <w:rsid w:val="00F34A8D"/>
    <w:rsid w:val="00F50D25"/>
    <w:rsid w:val="00F535D8"/>
    <w:rsid w:val="00F61155"/>
    <w:rsid w:val="00F708E3"/>
    <w:rsid w:val="00F76561"/>
    <w:rsid w:val="00F84736"/>
    <w:rsid w:val="00F9681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5A24E8-5895-4FF9-8F10-F230A75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customStyle="1" w:styleId="ParaNum">
    <w:name w:val="ParaNum"/>
    <w:basedOn w:val="Normal"/>
    <w:link w:val="ParaNumChar"/>
    <w:rsid w:val="00945113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945113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C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1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D2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2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