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media/image11.svg" ContentType="image/svg+xml"/>
  <Override PartName="/word/media/image3.svg" ContentType="image/svg+xml"/>
  <Override PartName="/word/media/image5.svg" ContentType="image/svg+xml"/>
  <Override PartName="/word/media/image7.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8.10 -->
  <w:body>
    <w:p w:rsidR="00BC1E0F" w:rsidRPr="00D85509" w:rsidP="007F64CB" w14:paraId="6F45A6D7" w14:textId="77777777">
      <w:pPr>
        <w:spacing w:after="120"/>
        <w:ind w:firstLine="720"/>
        <w:jc w:val="center"/>
        <w:rPr>
          <w:rFonts w:eastAsiaTheme="minorHAnsi"/>
          <w:b/>
        </w:rPr>
      </w:pPr>
    </w:p>
    <w:p w:rsidR="00BC1E0F" w:rsidRPr="00D85509" w:rsidP="007F64CB" w14:paraId="5FEBBAA0" w14:textId="77777777">
      <w:pPr>
        <w:spacing w:after="120"/>
        <w:ind w:firstLine="720"/>
        <w:jc w:val="center"/>
        <w:rPr>
          <w:rFonts w:eastAsiaTheme="minorHAnsi"/>
          <w:b/>
        </w:rPr>
      </w:pPr>
    </w:p>
    <w:p w:rsidR="00BC1E0F" w:rsidRPr="00D85509" w:rsidP="007F64CB" w14:paraId="0DF7FEA5" w14:textId="77777777">
      <w:pPr>
        <w:spacing w:after="120"/>
        <w:ind w:firstLine="720"/>
        <w:jc w:val="center"/>
        <w:rPr>
          <w:rFonts w:eastAsiaTheme="minorHAnsi"/>
          <w:b/>
        </w:rPr>
      </w:pPr>
    </w:p>
    <w:p w:rsidR="00BC1E0F" w:rsidRPr="00D85509" w:rsidP="00BC2735" w14:paraId="1944BD56" w14:textId="1A4CF90B">
      <w:pPr>
        <w:spacing w:after="120"/>
        <w:jc w:val="center"/>
        <w:rPr>
          <w:rFonts w:eastAsiaTheme="minorHAnsi"/>
          <w:b/>
        </w:rPr>
      </w:pPr>
      <w:r w:rsidRPr="00D85509">
        <w:rPr>
          <w:rFonts w:eastAsiaTheme="minorHAnsi"/>
          <w:b/>
          <w:noProof/>
        </w:rPr>
        <w:drawing>
          <wp:anchor distT="0" distB="0" distL="114300" distR="114300" simplePos="0" relativeHeight="251658240" behindDoc="0" locked="0" layoutInCell="0" allowOverlap="1">
            <wp:simplePos x="0" y="0"/>
            <wp:positionH relativeFrom="margin">
              <wp:align>center</wp:align>
            </wp:positionH>
            <wp:positionV relativeFrom="page">
              <wp:posOffset>2190750</wp:posOffset>
            </wp:positionV>
            <wp:extent cx="2781300" cy="2781300"/>
            <wp:effectExtent l="0" t="0" r="0" b="0"/>
            <wp:wrapTopAndBottom/>
            <wp:docPr id="4" name="Picture 4" descr="C:\WINDOWS\Desktop\fcc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66801" name="Picture 2" descr="C:\WINDOWS\Desktop\fcc_logo.tif"/>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2781300"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E0F" w:rsidRPr="00D85509" w:rsidP="007F64CB" w14:paraId="58BACD34" w14:textId="02700F34">
      <w:pPr>
        <w:spacing w:after="120"/>
        <w:ind w:firstLine="720"/>
        <w:jc w:val="center"/>
        <w:rPr>
          <w:rFonts w:eastAsiaTheme="minorHAnsi"/>
          <w:b/>
        </w:rPr>
      </w:pPr>
    </w:p>
    <w:p w:rsidR="00BC1E0F" w:rsidRPr="00D85509" w:rsidP="007F64CB" w14:paraId="0D263104" w14:textId="6934667F">
      <w:pPr>
        <w:spacing w:after="120"/>
        <w:ind w:firstLine="720"/>
        <w:jc w:val="center"/>
        <w:rPr>
          <w:rFonts w:eastAsiaTheme="minorHAnsi"/>
          <w:b/>
        </w:rPr>
      </w:pPr>
    </w:p>
    <w:p w:rsidR="00BC2735" w:rsidRPr="00D85509" w:rsidP="007F64CB" w14:paraId="67C9395A" w14:textId="77777777">
      <w:pPr>
        <w:spacing w:after="120"/>
        <w:ind w:firstLine="720"/>
        <w:jc w:val="center"/>
        <w:rPr>
          <w:rFonts w:eastAsiaTheme="minorHAnsi"/>
          <w:b/>
        </w:rPr>
      </w:pPr>
    </w:p>
    <w:p w:rsidR="00B02BB5" w:rsidRPr="00D85509" w:rsidP="00B02BB5" w14:paraId="476A4BB5" w14:textId="77777777">
      <w:pPr>
        <w:jc w:val="center"/>
        <w:rPr>
          <w:rFonts w:eastAsiaTheme="minorHAnsi"/>
          <w:b/>
        </w:rPr>
      </w:pPr>
      <w:r w:rsidRPr="00D85509">
        <w:rPr>
          <w:rFonts w:eastAsiaTheme="minorHAnsi"/>
          <w:b/>
        </w:rPr>
        <w:t xml:space="preserve">Report on Broadband Deployment in Indian Country, </w:t>
      </w:r>
    </w:p>
    <w:p w:rsidR="00B02BB5" w:rsidRPr="00D85509" w:rsidP="00B02BB5" w14:paraId="66FD41B3" w14:textId="49A73941">
      <w:pPr>
        <w:jc w:val="center"/>
        <w:rPr>
          <w:rFonts w:eastAsiaTheme="minorHAnsi"/>
          <w:b/>
        </w:rPr>
      </w:pPr>
      <w:r>
        <w:rPr>
          <w:rFonts w:eastAsiaTheme="minorHAnsi"/>
          <w:b/>
        </w:rPr>
        <w:t>P</w:t>
      </w:r>
      <w:r w:rsidRPr="00D85509" w:rsidR="00BC2735">
        <w:rPr>
          <w:rFonts w:eastAsiaTheme="minorHAnsi"/>
          <w:b/>
        </w:rPr>
        <w:t xml:space="preserve">ursuant to the </w:t>
      </w:r>
      <w:r w:rsidRPr="00D85509" w:rsidR="00BC2735">
        <w:rPr>
          <w:b/>
        </w:rPr>
        <w:t xml:space="preserve">Repack Airwaves Yielding Better Access </w:t>
      </w:r>
    </w:p>
    <w:p w:rsidR="00BC2735" w:rsidRPr="00D85509" w:rsidP="00B02BB5" w14:paraId="712745D1" w14:textId="53E72EDA">
      <w:pPr>
        <w:spacing w:after="120"/>
        <w:jc w:val="center"/>
        <w:rPr>
          <w:rFonts w:eastAsiaTheme="minorHAnsi"/>
          <w:b/>
        </w:rPr>
      </w:pPr>
      <w:r w:rsidRPr="00D85509">
        <w:rPr>
          <w:b/>
        </w:rPr>
        <w:t>for Users of Modern Services Act of 2018</w:t>
      </w:r>
    </w:p>
    <w:p w:rsidR="009D5C64" w:rsidRPr="00D85509" w:rsidP="007F64CB" w14:paraId="1EEC9444" w14:textId="0A2256C7">
      <w:pPr>
        <w:spacing w:after="120"/>
        <w:ind w:firstLine="720"/>
        <w:jc w:val="center"/>
        <w:rPr>
          <w:rFonts w:eastAsiaTheme="minorHAnsi"/>
        </w:rPr>
      </w:pPr>
    </w:p>
    <w:p w:rsidR="00BC2735" w:rsidRPr="00D85509" w:rsidP="007F64CB" w14:paraId="6267D3BA" w14:textId="77777777">
      <w:pPr>
        <w:spacing w:after="120"/>
        <w:ind w:firstLine="720"/>
        <w:jc w:val="center"/>
        <w:rPr>
          <w:rFonts w:eastAsiaTheme="minorHAnsi"/>
        </w:rPr>
      </w:pPr>
    </w:p>
    <w:p w:rsidR="00BC2735" w:rsidRPr="00D85509" w:rsidP="00BC2735" w14:paraId="6942E7DD" w14:textId="2C84F7CE">
      <w:pPr>
        <w:spacing w:after="120"/>
        <w:jc w:val="center"/>
        <w:rPr>
          <w:b/>
        </w:rPr>
      </w:pPr>
      <w:r w:rsidRPr="00D85509">
        <w:rPr>
          <w:b/>
        </w:rPr>
        <w:t>Prepared by the:</w:t>
      </w:r>
    </w:p>
    <w:p w:rsidR="00BC2735" w:rsidRPr="00D85509" w:rsidP="00BC2735" w14:paraId="6342B119" w14:textId="3BB8F855">
      <w:pPr>
        <w:jc w:val="center"/>
        <w:rPr>
          <w:b/>
        </w:rPr>
      </w:pPr>
      <w:r w:rsidRPr="00D85509">
        <w:rPr>
          <w:b/>
        </w:rPr>
        <w:t>Consumer &amp; Governmental Affairs Bureau</w:t>
      </w:r>
    </w:p>
    <w:p w:rsidR="00BC2735" w:rsidRPr="00D85509" w:rsidP="00BC2735" w14:paraId="1090FD14" w14:textId="421BA2CE">
      <w:pPr>
        <w:jc w:val="center"/>
        <w:rPr>
          <w:b/>
        </w:rPr>
      </w:pPr>
      <w:r w:rsidRPr="00D85509">
        <w:rPr>
          <w:b/>
        </w:rPr>
        <w:t>Wireless Telecommunications Bureau</w:t>
      </w:r>
    </w:p>
    <w:p w:rsidR="00BC2735" w:rsidRPr="00D85509" w:rsidP="00BC2735" w14:paraId="25499872" w14:textId="77777777">
      <w:pPr>
        <w:jc w:val="center"/>
        <w:rPr>
          <w:rFonts w:eastAsiaTheme="minorHAnsi"/>
          <w:b/>
        </w:rPr>
      </w:pPr>
      <w:r w:rsidRPr="00D85509">
        <w:rPr>
          <w:b/>
        </w:rPr>
        <w:t>Wireline Competition Bureau</w:t>
      </w:r>
    </w:p>
    <w:p w:rsidR="00BC1E0F" w:rsidRPr="00D85509" w:rsidP="00BC2735" w14:paraId="563696EF" w14:textId="52026A59">
      <w:pPr>
        <w:spacing w:after="120"/>
        <w:jc w:val="center"/>
        <w:rPr>
          <w:rFonts w:eastAsiaTheme="minorHAnsi"/>
        </w:rPr>
      </w:pPr>
    </w:p>
    <w:p w:rsidR="00BC1E0F" w:rsidRPr="00D85509" w:rsidP="00BC2735" w14:paraId="41B6BE9C" w14:textId="1ABB3E31">
      <w:pPr>
        <w:spacing w:after="120"/>
        <w:jc w:val="center"/>
        <w:rPr>
          <w:rFonts w:eastAsiaTheme="minorHAnsi"/>
        </w:rPr>
      </w:pPr>
    </w:p>
    <w:p w:rsidR="00BC1E0F" w:rsidRPr="00D85509" w:rsidP="00BC2735" w14:paraId="0FF71FE0" w14:textId="168E9A36">
      <w:pPr>
        <w:spacing w:after="120"/>
        <w:jc w:val="center"/>
        <w:rPr>
          <w:rFonts w:eastAsiaTheme="minorHAnsi"/>
        </w:rPr>
      </w:pPr>
    </w:p>
    <w:p w:rsidR="00BC2735" w:rsidRPr="00D85509" w:rsidP="00BC2735" w14:paraId="0098F32F" w14:textId="53176CC3">
      <w:pPr>
        <w:spacing w:after="120"/>
        <w:jc w:val="center"/>
        <w:rPr>
          <w:b/>
        </w:rPr>
      </w:pPr>
      <w:r w:rsidRPr="00D85509">
        <w:rPr>
          <w:rFonts w:eastAsiaTheme="minorHAnsi"/>
          <w:b/>
        </w:rPr>
        <w:t xml:space="preserve">Submitted to </w:t>
      </w:r>
      <w:r w:rsidRPr="00D85509">
        <w:rPr>
          <w:b/>
        </w:rPr>
        <w:t>the:</w:t>
      </w:r>
    </w:p>
    <w:p w:rsidR="00BC2735" w:rsidRPr="00D85509" w:rsidP="00BC2735" w14:paraId="21B9DE61" w14:textId="231ACEBB">
      <w:pPr>
        <w:jc w:val="center"/>
        <w:rPr>
          <w:b/>
        </w:rPr>
      </w:pPr>
      <w:r w:rsidRPr="00D85509">
        <w:rPr>
          <w:b/>
        </w:rPr>
        <w:t>Senate Committee on Commerce, Science, and Transportation</w:t>
      </w:r>
    </w:p>
    <w:p w:rsidR="00BC1E0F" w:rsidRPr="00D85509" w:rsidP="00BC2735" w14:paraId="77BEC82E" w14:textId="11543740">
      <w:pPr>
        <w:jc w:val="center"/>
        <w:rPr>
          <w:rFonts w:eastAsiaTheme="minorHAnsi"/>
          <w:b/>
        </w:rPr>
      </w:pPr>
      <w:r w:rsidRPr="00D85509">
        <w:rPr>
          <w:b/>
        </w:rPr>
        <w:t>House of Representatives Committee on Energy and Commerce</w:t>
      </w:r>
    </w:p>
    <w:p w:rsidR="0025661E" w:rsidRPr="00D85509" w:rsidP="00BC2735" w14:paraId="56F95988" w14:textId="77777777">
      <w:pPr>
        <w:spacing w:after="120"/>
        <w:jc w:val="center"/>
        <w:rPr>
          <w:rFonts w:eastAsiaTheme="minorHAnsi"/>
          <w:b/>
        </w:rPr>
      </w:pPr>
    </w:p>
    <w:p w:rsidR="003916CC" w:rsidRPr="00D85509" w:rsidP="00BC2735" w14:paraId="64AB2F52" w14:textId="3E902967">
      <w:pPr>
        <w:spacing w:after="120"/>
        <w:jc w:val="center"/>
        <w:rPr>
          <w:rFonts w:eastAsiaTheme="minorHAnsi"/>
          <w:b/>
        </w:rPr>
        <w:sectPr w:rsidSect="003916CC">
          <w:headerReference w:type="default" r:id="rId7"/>
          <w:footerReference w:type="default" r:id="rId8"/>
          <w:footerReference w:type="first" r:id="rId9"/>
          <w:pgSz w:w="12240" w:h="15840"/>
          <w:pgMar w:top="1440" w:right="1440" w:bottom="1440" w:left="1440" w:header="720" w:footer="720" w:gutter="0"/>
          <w:pgNumType w:start="0"/>
          <w:cols w:space="720"/>
          <w:titlePg/>
          <w:docGrid w:linePitch="360"/>
        </w:sectPr>
      </w:pPr>
      <w:r>
        <w:rPr>
          <w:rFonts w:eastAsiaTheme="minorHAnsi"/>
          <w:b/>
        </w:rPr>
        <w:t>May</w:t>
      </w:r>
      <w:r w:rsidRPr="00D85509" w:rsidR="00516D57">
        <w:rPr>
          <w:rFonts w:eastAsiaTheme="minorHAnsi"/>
          <w:b/>
        </w:rPr>
        <w:t xml:space="preserve"> 2019</w:t>
      </w:r>
    </w:p>
    <w:p w:rsidR="009D5C64" w:rsidRPr="00D85509" w:rsidP="0025661E" w14:paraId="39B30B2C" w14:textId="740E9F07">
      <w:pPr>
        <w:spacing w:after="120"/>
        <w:jc w:val="center"/>
        <w:rPr>
          <w:rFonts w:eastAsiaTheme="minorHAnsi"/>
          <w:b/>
        </w:rPr>
      </w:pPr>
      <w:r w:rsidRPr="00D85509">
        <w:rPr>
          <w:rFonts w:eastAsiaTheme="minorHAnsi"/>
          <w:b/>
        </w:rPr>
        <w:t>TABLE OF CONTENTS</w:t>
      </w:r>
    </w:p>
    <w:sdt>
      <w:sdtPr>
        <w:rPr>
          <w:rFonts w:ascii="Times New Roman" w:hAnsi="Times New Roman"/>
          <w:b w:val="0"/>
          <w:caps w:val="0"/>
        </w:rPr>
        <w:id w:val="840889405"/>
        <w:docPartObj>
          <w:docPartGallery w:val="Table of Contents"/>
          <w:docPartUnique/>
        </w:docPartObj>
      </w:sdtPr>
      <w:sdtEndPr>
        <w:rPr>
          <w:bCs/>
          <w:noProof/>
        </w:rPr>
      </w:sdtEndPr>
      <w:sdtContent>
        <w:p w:rsidR="009D5C64" w:rsidRPr="00D85509" w:rsidP="00ED2DCC" w14:paraId="2CBE4043" w14:textId="77777777">
          <w:pPr>
            <w:pStyle w:val="TOCHeading"/>
            <w:numPr>
              <w:ilvl w:val="0"/>
              <w:numId w:val="0"/>
            </w:numPr>
            <w:spacing w:line="480" w:lineRule="auto"/>
          </w:pPr>
        </w:p>
        <w:p w:rsidR="002C6031" w14:paraId="6E1F3863" w14:textId="679F6573">
          <w:pPr>
            <w:pStyle w:val="TOC1"/>
            <w:rPr>
              <w:caps w:val="0"/>
            </w:rPr>
          </w:pPr>
          <w:r w:rsidRPr="00D85509">
            <w:rPr>
              <w:b/>
              <w:bCs/>
            </w:rPr>
            <w:fldChar w:fldCharType="begin"/>
          </w:r>
          <w:r w:rsidRPr="00D85509">
            <w:rPr>
              <w:b/>
              <w:bCs/>
            </w:rPr>
            <w:instrText xml:space="preserve"> TOC \o "1-3" \h \z \u </w:instrText>
          </w:r>
          <w:r w:rsidRPr="00D85509">
            <w:rPr>
              <w:b/>
              <w:bCs/>
            </w:rPr>
            <w:fldChar w:fldCharType="separate"/>
          </w:r>
          <w:hyperlink w:anchor="_Toc6578191" w:history="1">
            <w:r w:rsidRPr="007D66E0">
              <w:rPr>
                <w:rStyle w:val="Hyperlink"/>
                <w:rFonts w:eastAsiaTheme="minorHAnsi"/>
              </w:rPr>
              <w:t>I.</w:t>
            </w:r>
            <w:r>
              <w:rPr>
                <w:caps w:val="0"/>
              </w:rPr>
              <w:tab/>
            </w:r>
            <w:r w:rsidRPr="007D66E0">
              <w:rPr>
                <w:rStyle w:val="Hyperlink"/>
                <w:rFonts w:eastAsiaTheme="minorHAnsi"/>
              </w:rPr>
              <w:t>INTRODUCTION</w:t>
            </w:r>
            <w:r>
              <w:rPr>
                <w:webHidden/>
              </w:rPr>
              <w:tab/>
            </w:r>
            <w:r>
              <w:rPr>
                <w:webHidden/>
              </w:rPr>
              <w:fldChar w:fldCharType="begin"/>
            </w:r>
            <w:r>
              <w:rPr>
                <w:webHidden/>
              </w:rPr>
              <w:instrText xml:space="preserve"> PAGEREF _Toc6578191 \h </w:instrText>
            </w:r>
            <w:r>
              <w:rPr>
                <w:webHidden/>
              </w:rPr>
              <w:fldChar w:fldCharType="separate"/>
            </w:r>
            <w:r w:rsidR="00D26ABA">
              <w:rPr>
                <w:webHidden/>
              </w:rPr>
              <w:t>1</w:t>
            </w:r>
            <w:r>
              <w:rPr>
                <w:webHidden/>
              </w:rPr>
              <w:fldChar w:fldCharType="end"/>
            </w:r>
          </w:hyperlink>
        </w:p>
        <w:p w:rsidR="002C6031" w14:paraId="3EC332E3" w14:textId="19E63FA4">
          <w:pPr>
            <w:pStyle w:val="TOC1"/>
            <w:rPr>
              <w:caps w:val="0"/>
            </w:rPr>
          </w:pPr>
          <w:hyperlink w:anchor="_Toc6578192" w:history="1">
            <w:r w:rsidRPr="007D66E0">
              <w:rPr>
                <w:rStyle w:val="Hyperlink"/>
              </w:rPr>
              <w:t>II.</w:t>
            </w:r>
            <w:r>
              <w:rPr>
                <w:caps w:val="0"/>
              </w:rPr>
              <w:tab/>
            </w:r>
            <w:r w:rsidRPr="007D66E0">
              <w:rPr>
                <w:rStyle w:val="Hyperlink"/>
              </w:rPr>
              <w:t>BACKGROUND</w:t>
            </w:r>
            <w:r>
              <w:rPr>
                <w:webHidden/>
              </w:rPr>
              <w:tab/>
            </w:r>
            <w:r>
              <w:rPr>
                <w:webHidden/>
              </w:rPr>
              <w:fldChar w:fldCharType="begin"/>
            </w:r>
            <w:r>
              <w:rPr>
                <w:webHidden/>
              </w:rPr>
              <w:instrText xml:space="preserve"> PAGEREF _Toc6578192 \h </w:instrText>
            </w:r>
            <w:r>
              <w:rPr>
                <w:webHidden/>
              </w:rPr>
              <w:fldChar w:fldCharType="separate"/>
            </w:r>
            <w:r>
              <w:rPr>
                <w:webHidden/>
              </w:rPr>
              <w:t>1</w:t>
            </w:r>
            <w:r>
              <w:rPr>
                <w:webHidden/>
              </w:rPr>
              <w:fldChar w:fldCharType="end"/>
            </w:r>
          </w:hyperlink>
        </w:p>
        <w:p w:rsidR="002C6031" w14:paraId="6184114B" w14:textId="3630885A">
          <w:pPr>
            <w:pStyle w:val="TOC1"/>
            <w:rPr>
              <w:caps w:val="0"/>
            </w:rPr>
          </w:pPr>
          <w:hyperlink w:anchor="_Toc6578193" w:history="1">
            <w:r w:rsidRPr="007D66E0">
              <w:rPr>
                <w:rStyle w:val="Hyperlink"/>
              </w:rPr>
              <w:t>III.</w:t>
            </w:r>
            <w:r>
              <w:rPr>
                <w:caps w:val="0"/>
              </w:rPr>
              <w:tab/>
            </w:r>
            <w:r w:rsidRPr="007D66E0">
              <w:rPr>
                <w:rStyle w:val="Hyperlink"/>
              </w:rPr>
              <w:t>CURRENT DEPLOYMENT ON TRIBAL LANDS</w:t>
            </w:r>
            <w:r>
              <w:rPr>
                <w:webHidden/>
              </w:rPr>
              <w:tab/>
            </w:r>
            <w:r>
              <w:rPr>
                <w:webHidden/>
              </w:rPr>
              <w:fldChar w:fldCharType="begin"/>
            </w:r>
            <w:r>
              <w:rPr>
                <w:webHidden/>
              </w:rPr>
              <w:instrText xml:space="preserve"> PAGEREF _Toc6578193 \h </w:instrText>
            </w:r>
            <w:r>
              <w:rPr>
                <w:webHidden/>
              </w:rPr>
              <w:fldChar w:fldCharType="separate"/>
            </w:r>
            <w:r>
              <w:rPr>
                <w:webHidden/>
              </w:rPr>
              <w:t>3</w:t>
            </w:r>
            <w:r>
              <w:rPr>
                <w:webHidden/>
              </w:rPr>
              <w:fldChar w:fldCharType="end"/>
            </w:r>
          </w:hyperlink>
        </w:p>
        <w:p w:rsidR="002C6031" w14:paraId="22985A7E" w14:textId="1D3930CE">
          <w:pPr>
            <w:pStyle w:val="TOC2"/>
          </w:pPr>
          <w:hyperlink w:anchor="_Toc6578194" w:history="1">
            <w:r w:rsidRPr="007D66E0">
              <w:rPr>
                <w:rStyle w:val="Hyperlink"/>
              </w:rPr>
              <w:t>A.</w:t>
            </w:r>
            <w:r>
              <w:tab/>
            </w:r>
            <w:r w:rsidRPr="007D66E0">
              <w:rPr>
                <w:rStyle w:val="Hyperlink"/>
              </w:rPr>
              <w:t>Data and Methodology Overview</w:t>
            </w:r>
            <w:r>
              <w:rPr>
                <w:webHidden/>
              </w:rPr>
              <w:tab/>
            </w:r>
            <w:r>
              <w:rPr>
                <w:webHidden/>
              </w:rPr>
              <w:fldChar w:fldCharType="begin"/>
            </w:r>
            <w:r>
              <w:rPr>
                <w:webHidden/>
              </w:rPr>
              <w:instrText xml:space="preserve"> PAGEREF _Toc6578194 \h </w:instrText>
            </w:r>
            <w:r>
              <w:rPr>
                <w:webHidden/>
              </w:rPr>
              <w:fldChar w:fldCharType="separate"/>
            </w:r>
            <w:r>
              <w:rPr>
                <w:webHidden/>
              </w:rPr>
              <w:t>3</w:t>
            </w:r>
            <w:r>
              <w:rPr>
                <w:webHidden/>
              </w:rPr>
              <w:fldChar w:fldCharType="end"/>
            </w:r>
          </w:hyperlink>
        </w:p>
        <w:p w:rsidR="002C6031" w14:paraId="49D44AFF" w14:textId="0DDC9AF9">
          <w:pPr>
            <w:pStyle w:val="TOC2"/>
          </w:pPr>
          <w:hyperlink w:anchor="_Toc6578195" w:history="1">
            <w:r w:rsidRPr="007D66E0">
              <w:rPr>
                <w:rStyle w:val="Hyperlink"/>
              </w:rPr>
              <w:t>B.</w:t>
            </w:r>
            <w:r>
              <w:tab/>
            </w:r>
            <w:r w:rsidRPr="007D66E0">
              <w:rPr>
                <w:rStyle w:val="Hyperlink"/>
              </w:rPr>
              <w:t>Fixed Broadband Deployment</w:t>
            </w:r>
            <w:r>
              <w:rPr>
                <w:webHidden/>
              </w:rPr>
              <w:tab/>
            </w:r>
            <w:r>
              <w:rPr>
                <w:webHidden/>
              </w:rPr>
              <w:fldChar w:fldCharType="begin"/>
            </w:r>
            <w:r>
              <w:rPr>
                <w:webHidden/>
              </w:rPr>
              <w:instrText xml:space="preserve"> PAGEREF _Toc6578195 \h </w:instrText>
            </w:r>
            <w:r>
              <w:rPr>
                <w:webHidden/>
              </w:rPr>
              <w:fldChar w:fldCharType="separate"/>
            </w:r>
            <w:r>
              <w:rPr>
                <w:webHidden/>
              </w:rPr>
              <w:t>4</w:t>
            </w:r>
            <w:r>
              <w:rPr>
                <w:webHidden/>
              </w:rPr>
              <w:fldChar w:fldCharType="end"/>
            </w:r>
          </w:hyperlink>
        </w:p>
        <w:p w:rsidR="002C6031" w14:paraId="704DED74" w14:textId="10089196">
          <w:pPr>
            <w:pStyle w:val="TOC2"/>
          </w:pPr>
          <w:hyperlink w:anchor="_Toc6578196" w:history="1">
            <w:r w:rsidRPr="007D66E0">
              <w:rPr>
                <w:rStyle w:val="Hyperlink"/>
              </w:rPr>
              <w:t>C.</w:t>
            </w:r>
            <w:r>
              <w:tab/>
            </w:r>
            <w:r w:rsidRPr="007D66E0">
              <w:rPr>
                <w:rStyle w:val="Hyperlink"/>
              </w:rPr>
              <w:t>Mobile Broadband Deployment</w:t>
            </w:r>
            <w:r>
              <w:rPr>
                <w:webHidden/>
              </w:rPr>
              <w:tab/>
            </w:r>
            <w:r>
              <w:rPr>
                <w:webHidden/>
              </w:rPr>
              <w:fldChar w:fldCharType="begin"/>
            </w:r>
            <w:r>
              <w:rPr>
                <w:webHidden/>
              </w:rPr>
              <w:instrText xml:space="preserve"> PAGEREF _Toc6578196 \h </w:instrText>
            </w:r>
            <w:r>
              <w:rPr>
                <w:webHidden/>
              </w:rPr>
              <w:fldChar w:fldCharType="separate"/>
            </w:r>
            <w:r>
              <w:rPr>
                <w:webHidden/>
              </w:rPr>
              <w:t>8</w:t>
            </w:r>
            <w:r>
              <w:rPr>
                <w:webHidden/>
              </w:rPr>
              <w:fldChar w:fldCharType="end"/>
            </w:r>
          </w:hyperlink>
        </w:p>
        <w:p w:rsidR="002C6031" w14:paraId="789B6CA7" w14:textId="1C5961DD">
          <w:pPr>
            <w:pStyle w:val="TOC1"/>
            <w:rPr>
              <w:caps w:val="0"/>
            </w:rPr>
          </w:pPr>
          <w:hyperlink w:anchor="_Toc6578197" w:history="1">
            <w:r w:rsidRPr="007D66E0">
              <w:rPr>
                <w:rStyle w:val="Hyperlink"/>
              </w:rPr>
              <w:t>IV.</w:t>
            </w:r>
            <w:r>
              <w:rPr>
                <w:caps w:val="0"/>
              </w:rPr>
              <w:tab/>
            </w:r>
            <w:r w:rsidRPr="007D66E0">
              <w:rPr>
                <w:rStyle w:val="Hyperlink"/>
              </w:rPr>
              <w:t>CONTINUING COMMISSION EFFORTS TO INCREASE TRIBAL DEPLOYMENT</w:t>
            </w:r>
            <w:r>
              <w:rPr>
                <w:webHidden/>
              </w:rPr>
              <w:tab/>
            </w:r>
            <w:r>
              <w:rPr>
                <w:webHidden/>
              </w:rPr>
              <w:fldChar w:fldCharType="begin"/>
            </w:r>
            <w:r>
              <w:rPr>
                <w:webHidden/>
              </w:rPr>
              <w:instrText xml:space="preserve"> PAGEREF _Toc6578197 \h </w:instrText>
            </w:r>
            <w:r>
              <w:rPr>
                <w:webHidden/>
              </w:rPr>
              <w:fldChar w:fldCharType="separate"/>
            </w:r>
            <w:r>
              <w:rPr>
                <w:webHidden/>
              </w:rPr>
              <w:t>9</w:t>
            </w:r>
            <w:r>
              <w:rPr>
                <w:webHidden/>
              </w:rPr>
              <w:fldChar w:fldCharType="end"/>
            </w:r>
          </w:hyperlink>
        </w:p>
        <w:p w:rsidR="002C6031" w14:paraId="7DA44A0F" w14:textId="10730F46">
          <w:pPr>
            <w:pStyle w:val="TOC2"/>
          </w:pPr>
          <w:hyperlink w:anchor="_Toc6578199" w:history="1">
            <w:r w:rsidRPr="007D66E0">
              <w:rPr>
                <w:rStyle w:val="Hyperlink"/>
              </w:rPr>
              <w:t>A.</w:t>
            </w:r>
            <w:r>
              <w:tab/>
            </w:r>
            <w:r w:rsidRPr="007D66E0">
              <w:rPr>
                <w:rStyle w:val="Hyperlink"/>
                <w:rFonts w:eastAsia="Calibri"/>
              </w:rPr>
              <w:t>Universal Service Programs</w:t>
            </w:r>
            <w:r>
              <w:rPr>
                <w:webHidden/>
              </w:rPr>
              <w:tab/>
            </w:r>
            <w:r>
              <w:rPr>
                <w:webHidden/>
              </w:rPr>
              <w:fldChar w:fldCharType="begin"/>
            </w:r>
            <w:r>
              <w:rPr>
                <w:webHidden/>
              </w:rPr>
              <w:instrText xml:space="preserve"> PAGEREF _Toc6578199 \h </w:instrText>
            </w:r>
            <w:r>
              <w:rPr>
                <w:webHidden/>
              </w:rPr>
              <w:fldChar w:fldCharType="separate"/>
            </w:r>
            <w:r>
              <w:rPr>
                <w:webHidden/>
              </w:rPr>
              <w:t>9</w:t>
            </w:r>
            <w:r>
              <w:rPr>
                <w:webHidden/>
              </w:rPr>
              <w:fldChar w:fldCharType="end"/>
            </w:r>
          </w:hyperlink>
        </w:p>
        <w:p w:rsidR="002C6031" w14:paraId="22BA2A58" w14:textId="0EBE9E67">
          <w:pPr>
            <w:pStyle w:val="TOC3"/>
          </w:pPr>
          <w:hyperlink w:anchor="_Toc6578200" w:history="1">
            <w:r w:rsidRPr="007D66E0">
              <w:rPr>
                <w:rStyle w:val="Hyperlink"/>
              </w:rPr>
              <w:t>1.</w:t>
            </w:r>
            <w:r>
              <w:tab/>
            </w:r>
            <w:r w:rsidRPr="007D66E0">
              <w:rPr>
                <w:rStyle w:val="Hyperlink"/>
              </w:rPr>
              <w:t>High-Cost Program</w:t>
            </w:r>
            <w:r>
              <w:rPr>
                <w:webHidden/>
              </w:rPr>
              <w:tab/>
            </w:r>
            <w:r>
              <w:rPr>
                <w:webHidden/>
              </w:rPr>
              <w:fldChar w:fldCharType="begin"/>
            </w:r>
            <w:r>
              <w:rPr>
                <w:webHidden/>
              </w:rPr>
              <w:instrText xml:space="preserve"> PAGEREF _Toc6578200 \h </w:instrText>
            </w:r>
            <w:r>
              <w:rPr>
                <w:webHidden/>
              </w:rPr>
              <w:fldChar w:fldCharType="separate"/>
            </w:r>
            <w:r>
              <w:rPr>
                <w:webHidden/>
              </w:rPr>
              <w:t>9</w:t>
            </w:r>
            <w:r>
              <w:rPr>
                <w:webHidden/>
              </w:rPr>
              <w:fldChar w:fldCharType="end"/>
            </w:r>
          </w:hyperlink>
        </w:p>
        <w:p w:rsidR="002C6031" w14:paraId="5AF74669" w14:textId="261BE66F">
          <w:pPr>
            <w:pStyle w:val="TOC3"/>
          </w:pPr>
          <w:hyperlink w:anchor="_Toc6578201" w:history="1">
            <w:r w:rsidRPr="007D66E0">
              <w:rPr>
                <w:rStyle w:val="Hyperlink"/>
              </w:rPr>
              <w:t>2.</w:t>
            </w:r>
            <w:r>
              <w:tab/>
            </w:r>
            <w:r w:rsidRPr="007D66E0">
              <w:rPr>
                <w:rStyle w:val="Hyperlink"/>
              </w:rPr>
              <w:t>Lifeline Program</w:t>
            </w:r>
            <w:r>
              <w:rPr>
                <w:webHidden/>
              </w:rPr>
              <w:tab/>
            </w:r>
            <w:r>
              <w:rPr>
                <w:webHidden/>
              </w:rPr>
              <w:fldChar w:fldCharType="begin"/>
            </w:r>
            <w:r>
              <w:rPr>
                <w:webHidden/>
              </w:rPr>
              <w:instrText xml:space="preserve"> PAGEREF _Toc6578201 \h </w:instrText>
            </w:r>
            <w:r>
              <w:rPr>
                <w:webHidden/>
              </w:rPr>
              <w:fldChar w:fldCharType="separate"/>
            </w:r>
            <w:r>
              <w:rPr>
                <w:webHidden/>
              </w:rPr>
              <w:t>14</w:t>
            </w:r>
            <w:r>
              <w:rPr>
                <w:webHidden/>
              </w:rPr>
              <w:fldChar w:fldCharType="end"/>
            </w:r>
          </w:hyperlink>
        </w:p>
        <w:p w:rsidR="002C6031" w14:paraId="5B551F2E" w14:textId="29F9DC8B">
          <w:pPr>
            <w:pStyle w:val="TOC3"/>
          </w:pPr>
          <w:hyperlink w:anchor="_Toc6578202" w:history="1">
            <w:r w:rsidRPr="007D66E0">
              <w:rPr>
                <w:rStyle w:val="Hyperlink"/>
              </w:rPr>
              <w:t>3.</w:t>
            </w:r>
            <w:r>
              <w:tab/>
            </w:r>
            <w:r w:rsidRPr="007D66E0">
              <w:rPr>
                <w:rStyle w:val="Hyperlink"/>
              </w:rPr>
              <w:t>E-Rate Program</w:t>
            </w:r>
            <w:r>
              <w:rPr>
                <w:webHidden/>
              </w:rPr>
              <w:tab/>
            </w:r>
            <w:r>
              <w:rPr>
                <w:webHidden/>
              </w:rPr>
              <w:fldChar w:fldCharType="begin"/>
            </w:r>
            <w:r>
              <w:rPr>
                <w:webHidden/>
              </w:rPr>
              <w:instrText xml:space="preserve"> PAGEREF _Toc6578202 \h </w:instrText>
            </w:r>
            <w:r>
              <w:rPr>
                <w:webHidden/>
              </w:rPr>
              <w:fldChar w:fldCharType="separate"/>
            </w:r>
            <w:r>
              <w:rPr>
                <w:webHidden/>
              </w:rPr>
              <w:t>14</w:t>
            </w:r>
            <w:r>
              <w:rPr>
                <w:webHidden/>
              </w:rPr>
              <w:fldChar w:fldCharType="end"/>
            </w:r>
          </w:hyperlink>
        </w:p>
        <w:p w:rsidR="002C6031" w14:paraId="6B9A1D45" w14:textId="5C18E4CB">
          <w:pPr>
            <w:pStyle w:val="TOC3"/>
          </w:pPr>
          <w:hyperlink w:anchor="_Toc6578203" w:history="1">
            <w:r w:rsidRPr="007D66E0">
              <w:rPr>
                <w:rStyle w:val="Hyperlink"/>
              </w:rPr>
              <w:t>4.</w:t>
            </w:r>
            <w:r>
              <w:tab/>
            </w:r>
            <w:r w:rsidRPr="007D66E0">
              <w:rPr>
                <w:rStyle w:val="Hyperlink"/>
              </w:rPr>
              <w:t>Rural Health Care Program</w:t>
            </w:r>
            <w:r>
              <w:rPr>
                <w:webHidden/>
              </w:rPr>
              <w:tab/>
            </w:r>
            <w:r>
              <w:rPr>
                <w:webHidden/>
              </w:rPr>
              <w:fldChar w:fldCharType="begin"/>
            </w:r>
            <w:r>
              <w:rPr>
                <w:webHidden/>
              </w:rPr>
              <w:instrText xml:space="preserve"> PAGEREF _Toc6578203 \h </w:instrText>
            </w:r>
            <w:r>
              <w:rPr>
                <w:webHidden/>
              </w:rPr>
              <w:fldChar w:fldCharType="separate"/>
            </w:r>
            <w:r>
              <w:rPr>
                <w:webHidden/>
              </w:rPr>
              <w:t>14</w:t>
            </w:r>
            <w:r>
              <w:rPr>
                <w:webHidden/>
              </w:rPr>
              <w:fldChar w:fldCharType="end"/>
            </w:r>
          </w:hyperlink>
        </w:p>
        <w:p w:rsidR="002C6031" w14:paraId="1261E00C" w14:textId="4E075981">
          <w:pPr>
            <w:pStyle w:val="TOC2"/>
          </w:pPr>
          <w:hyperlink w:anchor="_Toc6578204" w:history="1">
            <w:r w:rsidRPr="007D66E0">
              <w:rPr>
                <w:rStyle w:val="Hyperlink"/>
              </w:rPr>
              <w:t>B.</w:t>
            </w:r>
            <w:r>
              <w:tab/>
            </w:r>
            <w:r w:rsidRPr="007D66E0">
              <w:rPr>
                <w:rStyle w:val="Hyperlink"/>
                <w:rFonts w:eastAsia="Calibri"/>
              </w:rPr>
              <w:t>Tribal Consultations and Outreach</w:t>
            </w:r>
            <w:r>
              <w:rPr>
                <w:webHidden/>
              </w:rPr>
              <w:tab/>
            </w:r>
            <w:r>
              <w:rPr>
                <w:webHidden/>
              </w:rPr>
              <w:fldChar w:fldCharType="begin"/>
            </w:r>
            <w:r>
              <w:rPr>
                <w:webHidden/>
              </w:rPr>
              <w:instrText xml:space="preserve"> PAGEREF _Toc6578204 \h </w:instrText>
            </w:r>
            <w:r>
              <w:rPr>
                <w:webHidden/>
              </w:rPr>
              <w:fldChar w:fldCharType="separate"/>
            </w:r>
            <w:r>
              <w:rPr>
                <w:webHidden/>
              </w:rPr>
              <w:t>15</w:t>
            </w:r>
            <w:r>
              <w:rPr>
                <w:webHidden/>
              </w:rPr>
              <w:fldChar w:fldCharType="end"/>
            </w:r>
          </w:hyperlink>
        </w:p>
        <w:p w:rsidR="002C6031" w14:paraId="4FDCE920" w14:textId="0A5D5B77">
          <w:pPr>
            <w:pStyle w:val="TOC2"/>
          </w:pPr>
          <w:hyperlink w:anchor="_Toc6578205" w:history="1">
            <w:r w:rsidRPr="007D66E0">
              <w:rPr>
                <w:rStyle w:val="Hyperlink"/>
              </w:rPr>
              <w:t>C.</w:t>
            </w:r>
            <w:r>
              <w:tab/>
            </w:r>
            <w:r w:rsidRPr="007D66E0">
              <w:rPr>
                <w:rStyle w:val="Hyperlink"/>
              </w:rPr>
              <w:t>Additional Actions to Increase Access to Mobile Broadband on Tribal Lands</w:t>
            </w:r>
            <w:r>
              <w:rPr>
                <w:webHidden/>
              </w:rPr>
              <w:tab/>
            </w:r>
            <w:r>
              <w:rPr>
                <w:webHidden/>
              </w:rPr>
              <w:fldChar w:fldCharType="begin"/>
            </w:r>
            <w:r>
              <w:rPr>
                <w:webHidden/>
              </w:rPr>
              <w:instrText xml:space="preserve"> PAGEREF _Toc6578205 \h </w:instrText>
            </w:r>
            <w:r>
              <w:rPr>
                <w:webHidden/>
              </w:rPr>
              <w:fldChar w:fldCharType="separate"/>
            </w:r>
            <w:r>
              <w:rPr>
                <w:webHidden/>
              </w:rPr>
              <w:t>17</w:t>
            </w:r>
            <w:r>
              <w:rPr>
                <w:webHidden/>
              </w:rPr>
              <w:fldChar w:fldCharType="end"/>
            </w:r>
          </w:hyperlink>
        </w:p>
        <w:p w:rsidR="002C6031" w14:paraId="68E85660" w14:textId="4F7A2932">
          <w:pPr>
            <w:pStyle w:val="TOC3"/>
          </w:pPr>
          <w:hyperlink w:anchor="_Toc6578206" w:history="1">
            <w:r w:rsidRPr="007D66E0">
              <w:rPr>
                <w:rStyle w:val="Hyperlink"/>
              </w:rPr>
              <w:t>1.</w:t>
            </w:r>
            <w:r>
              <w:tab/>
            </w:r>
            <w:r w:rsidRPr="007D66E0">
              <w:rPr>
                <w:rStyle w:val="Hyperlink"/>
              </w:rPr>
              <w:t>2.5 GHz Band</w:t>
            </w:r>
            <w:r>
              <w:rPr>
                <w:webHidden/>
              </w:rPr>
              <w:tab/>
            </w:r>
            <w:r>
              <w:rPr>
                <w:webHidden/>
              </w:rPr>
              <w:fldChar w:fldCharType="begin"/>
            </w:r>
            <w:r>
              <w:rPr>
                <w:webHidden/>
              </w:rPr>
              <w:instrText xml:space="preserve"> PAGEREF _Toc6578206 \h </w:instrText>
            </w:r>
            <w:r>
              <w:rPr>
                <w:webHidden/>
              </w:rPr>
              <w:fldChar w:fldCharType="separate"/>
            </w:r>
            <w:r>
              <w:rPr>
                <w:webHidden/>
              </w:rPr>
              <w:t>17</w:t>
            </w:r>
            <w:r>
              <w:rPr>
                <w:webHidden/>
              </w:rPr>
              <w:fldChar w:fldCharType="end"/>
            </w:r>
          </w:hyperlink>
        </w:p>
        <w:p w:rsidR="002C6031" w14:paraId="34469457" w14:textId="75F3756A">
          <w:pPr>
            <w:pStyle w:val="TOC3"/>
          </w:pPr>
          <w:hyperlink w:anchor="_Toc6578207" w:history="1">
            <w:r w:rsidRPr="007D66E0">
              <w:rPr>
                <w:rStyle w:val="Hyperlink"/>
              </w:rPr>
              <w:t>2.</w:t>
            </w:r>
            <w:r>
              <w:tab/>
            </w:r>
            <w:r w:rsidRPr="007D66E0">
              <w:rPr>
                <w:rStyle w:val="Hyperlink"/>
              </w:rPr>
              <w:t>Tribal Lands Bidding Credits</w:t>
            </w:r>
            <w:r>
              <w:rPr>
                <w:webHidden/>
              </w:rPr>
              <w:tab/>
            </w:r>
            <w:r>
              <w:rPr>
                <w:webHidden/>
              </w:rPr>
              <w:fldChar w:fldCharType="begin"/>
            </w:r>
            <w:r>
              <w:rPr>
                <w:webHidden/>
              </w:rPr>
              <w:instrText xml:space="preserve"> PAGEREF _Toc6578207 \h </w:instrText>
            </w:r>
            <w:r>
              <w:rPr>
                <w:webHidden/>
              </w:rPr>
              <w:fldChar w:fldCharType="separate"/>
            </w:r>
            <w:r>
              <w:rPr>
                <w:webHidden/>
              </w:rPr>
              <w:t>17</w:t>
            </w:r>
            <w:r>
              <w:rPr>
                <w:webHidden/>
              </w:rPr>
              <w:fldChar w:fldCharType="end"/>
            </w:r>
          </w:hyperlink>
        </w:p>
        <w:p w:rsidR="002C6031" w14:paraId="12B5A3ED" w14:textId="229CE47A">
          <w:pPr>
            <w:pStyle w:val="TOC3"/>
          </w:pPr>
          <w:hyperlink w:anchor="_Toc6578208" w:history="1">
            <w:r w:rsidRPr="007D66E0">
              <w:rPr>
                <w:rStyle w:val="Hyperlink"/>
              </w:rPr>
              <w:t>3.</w:t>
            </w:r>
            <w:r>
              <w:tab/>
            </w:r>
            <w:r w:rsidRPr="007D66E0">
              <w:rPr>
                <w:rStyle w:val="Hyperlink"/>
              </w:rPr>
              <w:t>Recent and Planned Spectrum Auctions</w:t>
            </w:r>
            <w:r>
              <w:rPr>
                <w:webHidden/>
              </w:rPr>
              <w:tab/>
            </w:r>
            <w:r>
              <w:rPr>
                <w:webHidden/>
              </w:rPr>
              <w:fldChar w:fldCharType="begin"/>
            </w:r>
            <w:r>
              <w:rPr>
                <w:webHidden/>
              </w:rPr>
              <w:instrText xml:space="preserve"> PAGEREF _Toc6578208 \h </w:instrText>
            </w:r>
            <w:r>
              <w:rPr>
                <w:webHidden/>
              </w:rPr>
              <w:fldChar w:fldCharType="separate"/>
            </w:r>
            <w:r>
              <w:rPr>
                <w:webHidden/>
              </w:rPr>
              <w:t>17</w:t>
            </w:r>
            <w:r>
              <w:rPr>
                <w:webHidden/>
              </w:rPr>
              <w:fldChar w:fldCharType="end"/>
            </w:r>
          </w:hyperlink>
        </w:p>
        <w:p w:rsidR="002C6031" w14:paraId="5D5E782A" w14:textId="08856989">
          <w:pPr>
            <w:pStyle w:val="TOC1"/>
            <w:rPr>
              <w:caps w:val="0"/>
            </w:rPr>
          </w:pPr>
          <w:hyperlink w:anchor="_Toc6578209" w:history="1">
            <w:r w:rsidRPr="007D66E0">
              <w:rPr>
                <w:rStyle w:val="Hyperlink"/>
              </w:rPr>
              <w:t>V.</w:t>
            </w:r>
            <w:r>
              <w:rPr>
                <w:caps w:val="0"/>
              </w:rPr>
              <w:tab/>
            </w:r>
            <w:r w:rsidRPr="007D66E0">
              <w:rPr>
                <w:rStyle w:val="Hyperlink"/>
              </w:rPr>
              <w:t>Conclusion</w:t>
            </w:r>
            <w:r>
              <w:rPr>
                <w:webHidden/>
              </w:rPr>
              <w:tab/>
            </w:r>
            <w:r>
              <w:rPr>
                <w:webHidden/>
              </w:rPr>
              <w:fldChar w:fldCharType="begin"/>
            </w:r>
            <w:r>
              <w:rPr>
                <w:webHidden/>
              </w:rPr>
              <w:instrText xml:space="preserve"> PAGEREF _Toc6578209 \h </w:instrText>
            </w:r>
            <w:r>
              <w:rPr>
                <w:webHidden/>
              </w:rPr>
              <w:fldChar w:fldCharType="separate"/>
            </w:r>
            <w:r>
              <w:rPr>
                <w:webHidden/>
              </w:rPr>
              <w:t>18</w:t>
            </w:r>
            <w:r>
              <w:rPr>
                <w:webHidden/>
              </w:rPr>
              <w:fldChar w:fldCharType="end"/>
            </w:r>
          </w:hyperlink>
        </w:p>
        <w:p w:rsidR="009D5C64" w:rsidRPr="00D85509" w:rsidP="002C6031" w14:paraId="48E32E57" w14:textId="4D4F1681">
          <w:pPr>
            <w:spacing w:after="120"/>
          </w:pPr>
          <w:r w:rsidRPr="00D85509">
            <w:rPr>
              <w:b/>
              <w:bCs/>
              <w:noProof/>
            </w:rPr>
            <w:fldChar w:fldCharType="end"/>
          </w:r>
        </w:p>
      </w:sdtContent>
    </w:sdt>
    <w:p w:rsidR="00ED087C" w:rsidRPr="00D85509" w:rsidP="007F64CB" w14:paraId="028EA1CA" w14:textId="34E17410">
      <w:pPr>
        <w:spacing w:after="120"/>
        <w:ind w:firstLine="720"/>
        <w:rPr>
          <w:rFonts w:eastAsiaTheme="minorHAnsi"/>
        </w:rPr>
      </w:pPr>
    </w:p>
    <w:p w:rsidR="006D46CE" w:rsidRPr="00D85509" w:rsidP="007F64CB" w14:paraId="466E6BB0" w14:textId="5B65FCBB">
      <w:pPr>
        <w:spacing w:after="120"/>
        <w:ind w:firstLine="720"/>
        <w:rPr>
          <w:rFonts w:eastAsiaTheme="minorHAnsi"/>
        </w:rPr>
        <w:sectPr w:rsidSect="003916CC">
          <w:headerReference w:type="default" r:id="rId10"/>
          <w:headerReference w:type="first" r:id="rId11"/>
          <w:pgSz w:w="12240" w:h="15840"/>
          <w:pgMar w:top="1440" w:right="1440" w:bottom="1440" w:left="1440" w:header="720" w:footer="720" w:gutter="0"/>
          <w:pgNumType w:fmt="lowerRoman" w:start="1"/>
          <w:cols w:space="720"/>
          <w:titlePg/>
          <w:docGrid w:linePitch="360"/>
        </w:sectPr>
      </w:pPr>
      <w:bookmarkStart w:id="0" w:name="_GoBack"/>
      <w:bookmarkEnd w:id="0"/>
    </w:p>
    <w:p w:rsidR="00ED087C" w:rsidRPr="00D85509" w:rsidP="007F64CB" w14:paraId="23EC4592" w14:textId="03058149">
      <w:pPr>
        <w:pStyle w:val="Heading1"/>
        <w:rPr>
          <w:rFonts w:eastAsiaTheme="minorHAnsi"/>
        </w:rPr>
      </w:pPr>
      <w:bookmarkStart w:id="1" w:name="_Toc2857468"/>
      <w:bookmarkStart w:id="2" w:name="_Toc6578191"/>
      <w:r w:rsidRPr="00D85509">
        <w:rPr>
          <w:rFonts w:eastAsiaTheme="minorHAnsi"/>
        </w:rPr>
        <w:t>INTRODUCTION</w:t>
      </w:r>
      <w:bookmarkEnd w:id="1"/>
      <w:bookmarkEnd w:id="2"/>
    </w:p>
    <w:p w:rsidR="005F16B3" w:rsidP="007F64CB" w14:paraId="6A8C4C42" w14:textId="6ADC3353">
      <w:pPr>
        <w:spacing w:after="120"/>
        <w:ind w:firstLine="720"/>
      </w:pPr>
      <w:r w:rsidRPr="00D85509">
        <w:rPr>
          <w:rFonts w:eastAsiaTheme="minorHAnsi"/>
        </w:rPr>
        <w:t>Pursuant to Section 508(a)(1) of the</w:t>
      </w:r>
      <w:r w:rsidRPr="00D85509" w:rsidR="00C612F9">
        <w:rPr>
          <w:rFonts w:eastAsiaTheme="minorHAnsi"/>
        </w:rPr>
        <w:t xml:space="preserve"> </w:t>
      </w:r>
      <w:r w:rsidRPr="00D85509" w:rsidR="00C612F9">
        <w:t>Repack Airwaves Yielding Better Access for Users of Modern Services Act of 2018 (RAY BAUM’S Act or the Act)</w:t>
      </w:r>
      <w:r w:rsidRPr="00D85509">
        <w:rPr>
          <w:iCs/>
        </w:rPr>
        <w:t>, t</w:t>
      </w:r>
      <w:r w:rsidRPr="00D85509" w:rsidR="00F11772">
        <w:t xml:space="preserve">he </w:t>
      </w:r>
      <w:r w:rsidRPr="00D85509" w:rsidR="00AC6914">
        <w:t>Consumer &amp; Governmental Affairs Bureau, Wireless Telecommunications Bureau</w:t>
      </w:r>
      <w:r w:rsidRPr="00D85509" w:rsidR="00E77F34">
        <w:t>,</w:t>
      </w:r>
      <w:r w:rsidRPr="00D85509" w:rsidR="00AC6914">
        <w:t xml:space="preserve"> and Wireline Competition Bureau (Bureaus) </w:t>
      </w:r>
      <w:r w:rsidRPr="00D85509" w:rsidR="00F11772">
        <w:t>of the Federal Communications Commission (</w:t>
      </w:r>
      <w:r w:rsidRPr="00D85509" w:rsidR="003E3E02">
        <w:t xml:space="preserve">FCC or </w:t>
      </w:r>
      <w:r w:rsidRPr="00D85509" w:rsidR="00F11772">
        <w:t>Commission) submit</w:t>
      </w:r>
      <w:r w:rsidRPr="00D85509" w:rsidR="00DC3244">
        <w:t xml:space="preserve"> this </w:t>
      </w:r>
      <w:r w:rsidRPr="00D85509" w:rsidR="00F11772">
        <w:t xml:space="preserve">report </w:t>
      </w:r>
      <w:r w:rsidRPr="00D85509" w:rsidR="00DC3244">
        <w:t xml:space="preserve">to the </w:t>
      </w:r>
      <w:r w:rsidRPr="00D85509">
        <w:t>Committee on Energy and Commerce of the House of Representatives and the Committee on Commerce, Science, and Transportation of the Senate</w:t>
      </w:r>
      <w:r w:rsidRPr="00D85509" w:rsidR="00F11772">
        <w:t>.</w:t>
      </w:r>
      <w:r>
        <w:rPr>
          <w:rStyle w:val="FootnoteReference"/>
        </w:rPr>
        <w:footnoteReference w:id="3"/>
      </w:r>
      <w:r w:rsidRPr="00D85509" w:rsidR="00F11772">
        <w:t xml:space="preserve">  </w:t>
      </w:r>
      <w:r w:rsidRPr="00D85509" w:rsidR="00DC3244">
        <w:t>T</w:t>
      </w:r>
      <w:r w:rsidRPr="00D85509" w:rsidR="00F11772">
        <w:t xml:space="preserve">he </w:t>
      </w:r>
      <w:r w:rsidRPr="00D85509">
        <w:t>Act direct</w:t>
      </w:r>
      <w:r w:rsidR="001E040D">
        <w:t>s</w:t>
      </w:r>
      <w:r w:rsidRPr="00D85509">
        <w:t xml:space="preserve"> the </w:t>
      </w:r>
      <w:bookmarkStart w:id="3" w:name="_Hlk3967719"/>
      <w:r w:rsidRPr="00D85509" w:rsidR="00F11772">
        <w:t>Commission to evaluate</w:t>
      </w:r>
      <w:r w:rsidRPr="00D85509">
        <w:t xml:space="preserve"> broadband coverage in Indian country and on land held by a Native Corporation pursuant to the Alaska Native Claims Settlement Act</w:t>
      </w:r>
      <w:bookmarkEnd w:id="3"/>
      <w:r w:rsidRPr="00D85509">
        <w:t>.</w:t>
      </w:r>
      <w:r>
        <w:rPr>
          <w:rStyle w:val="FootnoteReference"/>
        </w:rPr>
        <w:footnoteReference w:id="4"/>
      </w:r>
      <w:r w:rsidRPr="00D85509">
        <w:t xml:space="preserve">  </w:t>
      </w:r>
      <w:r w:rsidRPr="00D85509" w:rsidR="00446963">
        <w:t xml:space="preserve">Consistent with this directive, the Bureaus provide an analysis of broadband deployment on Tribal lands using </w:t>
      </w:r>
      <w:r w:rsidRPr="00D85509" w:rsidR="007F7D10">
        <w:t xml:space="preserve">FCC </w:t>
      </w:r>
      <w:r w:rsidRPr="00D85509" w:rsidR="00446963">
        <w:t xml:space="preserve">Form 477 data as of December 2017, as well as an overview of the Commission’s ongoing efforts to address unserved areas on Tribal lands that are not yet reflected in </w:t>
      </w:r>
      <w:r w:rsidR="00A162CF">
        <w:t xml:space="preserve">this </w:t>
      </w:r>
      <w:r w:rsidRPr="00D85509" w:rsidR="00446963">
        <w:t>data.</w:t>
      </w:r>
      <w:r w:rsidRPr="00D85509" w:rsidR="00DC3244">
        <w:t xml:space="preserve">  </w:t>
      </w:r>
    </w:p>
    <w:p w:rsidR="00AF6796" w:rsidRPr="00D85509" w:rsidP="00A946B0" w14:paraId="642FB4D4" w14:textId="6E1CBDF4">
      <w:pPr>
        <w:spacing w:after="120"/>
        <w:ind w:firstLine="720"/>
      </w:pPr>
      <w:r>
        <w:t>As this report</w:t>
      </w:r>
      <w:r w:rsidR="00271E09">
        <w:t xml:space="preserve"> shows</w:t>
      </w:r>
      <w:r>
        <w:t xml:space="preserve">, </w:t>
      </w:r>
      <w:r w:rsidR="00271E09">
        <w:t xml:space="preserve">while </w:t>
      </w:r>
      <w:r>
        <w:t>deployment to Tribal lands has increased in recent years, additional</w:t>
      </w:r>
      <w:r w:rsidRPr="00D85509">
        <w:t xml:space="preserve"> work remains to increase deployment to the </w:t>
      </w:r>
      <w:r w:rsidR="00A162CF">
        <w:t>certain</w:t>
      </w:r>
      <w:r w:rsidRPr="00D85509">
        <w:t xml:space="preserve"> Tribal areas and reach our goal of closing the digital divide for all Americans.</w:t>
      </w:r>
      <w:r>
        <w:t xml:space="preserve">  </w:t>
      </w:r>
      <w:r w:rsidRPr="00D85509" w:rsidR="005A648E">
        <w:rPr>
          <w:rFonts w:eastAsia="Calibri"/>
          <w:u w:color="000000"/>
          <w:bdr w:val="nil"/>
        </w:rPr>
        <w:t xml:space="preserve">Tribal lands experience lower rates of </w:t>
      </w:r>
      <w:r w:rsidR="00E24900">
        <w:rPr>
          <w:rFonts w:eastAsia="Calibri"/>
          <w:u w:color="000000"/>
          <w:bdr w:val="nil"/>
        </w:rPr>
        <w:t xml:space="preserve">both fixed and mobile </w:t>
      </w:r>
      <w:r w:rsidRPr="00D85509" w:rsidR="005A648E">
        <w:rPr>
          <w:rFonts w:eastAsia="Calibri"/>
          <w:u w:color="000000"/>
          <w:bdr w:val="nil"/>
        </w:rPr>
        <w:t>broadband deployment</w:t>
      </w:r>
      <w:r w:rsidR="00E24900">
        <w:rPr>
          <w:rFonts w:eastAsia="Calibri"/>
          <w:u w:color="000000"/>
          <w:bdr w:val="nil"/>
        </w:rPr>
        <w:t xml:space="preserve"> as compared to</w:t>
      </w:r>
      <w:r w:rsidRPr="00D85509" w:rsidR="005A648E">
        <w:rPr>
          <w:rFonts w:eastAsia="Calibri"/>
          <w:u w:color="000000"/>
          <w:bdr w:val="nil"/>
        </w:rPr>
        <w:t xml:space="preserve"> non-Tribal areas of the United States</w:t>
      </w:r>
      <w:r w:rsidR="00271E09">
        <w:rPr>
          <w:rFonts w:eastAsia="Calibri"/>
          <w:u w:color="000000"/>
          <w:bdr w:val="nil"/>
        </w:rPr>
        <w:t xml:space="preserve">, particularly in </w:t>
      </w:r>
      <w:r w:rsidR="0032042C">
        <w:rPr>
          <w:rFonts w:eastAsia="Calibri"/>
          <w:u w:color="000000"/>
          <w:bdr w:val="nil"/>
        </w:rPr>
        <w:t>rural areas</w:t>
      </w:r>
      <w:r w:rsidRPr="00D85509" w:rsidR="005A648E">
        <w:rPr>
          <w:rFonts w:eastAsia="Calibri"/>
          <w:u w:color="000000"/>
          <w:bdr w:val="nil"/>
        </w:rPr>
        <w:t>.</w:t>
      </w:r>
      <w:r>
        <w:rPr>
          <w:rStyle w:val="FootnoteReference"/>
        </w:rPr>
        <w:footnoteReference w:id="5"/>
      </w:r>
      <w:r w:rsidRPr="00D85509" w:rsidR="005A648E">
        <w:rPr>
          <w:rFonts w:eastAsia="Calibri"/>
          <w:u w:color="000000"/>
          <w:bdr w:val="nil"/>
        </w:rPr>
        <w:t xml:space="preserve">  For example,</w:t>
      </w:r>
      <w:r w:rsidR="0032042C">
        <w:rPr>
          <w:rFonts w:eastAsia="Calibri"/>
          <w:u w:color="000000"/>
          <w:bdr w:val="nil"/>
        </w:rPr>
        <w:t xml:space="preserve"> while</w:t>
      </w:r>
      <w:r w:rsidRPr="00D85509" w:rsidR="005A648E">
        <w:rPr>
          <w:rFonts w:eastAsia="Calibri"/>
          <w:u w:color="000000"/>
          <w:bdr w:val="nil"/>
        </w:rPr>
        <w:t xml:space="preserve"> </w:t>
      </w:r>
      <w:r w:rsidR="0032042C">
        <w:t>92</w:t>
      </w:r>
      <w:r w:rsidRPr="00D85509" w:rsidR="005A648E">
        <w:t xml:space="preserve">% of </w:t>
      </w:r>
      <w:r w:rsidR="00E24900">
        <w:t xml:space="preserve">housing units </w:t>
      </w:r>
      <w:r w:rsidRPr="00D85509" w:rsidR="005A648E">
        <w:t>on</w:t>
      </w:r>
      <w:r w:rsidR="0032042C">
        <w:t xml:space="preserve"> urban</w:t>
      </w:r>
      <w:r w:rsidRPr="00D85509" w:rsidR="005A648E">
        <w:t xml:space="preserve"> Tribal lands </w:t>
      </w:r>
      <w:r w:rsidR="00E24900">
        <w:t xml:space="preserve">are covered by a </w:t>
      </w:r>
      <w:r w:rsidRPr="00D85509" w:rsidR="005A648E">
        <w:t xml:space="preserve">fixed terrestrial </w:t>
      </w:r>
      <w:r>
        <w:t xml:space="preserve">provider of </w:t>
      </w:r>
      <w:r w:rsidRPr="00D85509" w:rsidR="005A648E">
        <w:t xml:space="preserve">25/3 Mbps </w:t>
      </w:r>
      <w:r>
        <w:t>broadband service</w:t>
      </w:r>
      <w:r w:rsidR="0032042C">
        <w:t>—just six points behind their non-Tribal urban counterparts—just 46.6</w:t>
      </w:r>
      <w:r>
        <w:t>% of housing units</w:t>
      </w:r>
      <w:r w:rsidR="0032042C">
        <w:t xml:space="preserve"> on rural Tribal lands</w:t>
      </w:r>
      <w:r>
        <w:t xml:space="preserve"> </w:t>
      </w:r>
      <w:r w:rsidR="0032042C">
        <w:t>have access to that service, a nearly 27-point gap compared to non-Tribal rural areas</w:t>
      </w:r>
      <w:r>
        <w:t>.  M</w:t>
      </w:r>
      <w:r w:rsidRPr="00D85509">
        <w:t xml:space="preserve">obile LTE </w:t>
      </w:r>
      <w:r>
        <w:t>coverage on Tribal lands is similarly</w:t>
      </w:r>
      <w:r w:rsidR="00EB3935">
        <w:t xml:space="preserve"> behind deployment on non-Tribal lands</w:t>
      </w:r>
      <w:r>
        <w:t xml:space="preserve">; while </w:t>
      </w:r>
      <w:r w:rsidR="00F1158F">
        <w:t>99.8</w:t>
      </w:r>
      <w:r>
        <w:t xml:space="preserve">% of </w:t>
      </w:r>
      <w:r w:rsidR="00F1158F">
        <w:t xml:space="preserve">the population </w:t>
      </w:r>
      <w:r w:rsidR="00140798">
        <w:t xml:space="preserve">living on </w:t>
      </w:r>
      <w:r>
        <w:t xml:space="preserve">non-Tribal areas are covered by mobile LTE service, only </w:t>
      </w:r>
      <w:r w:rsidR="00C00141">
        <w:t>96</w:t>
      </w:r>
      <w:r>
        <w:t xml:space="preserve">% of </w:t>
      </w:r>
      <w:r w:rsidR="000204CE">
        <w:t xml:space="preserve">the population living on </w:t>
      </w:r>
      <w:r>
        <w:t>Tribal</w:t>
      </w:r>
      <w:r w:rsidR="000204CE">
        <w:t xml:space="preserve"> land</w:t>
      </w:r>
      <w:r>
        <w:t xml:space="preserve"> are covered with such service.</w:t>
      </w:r>
      <w:r w:rsidR="000204CE">
        <w:t xml:space="preserve">  And generally, individuals living on Tribal lands </w:t>
      </w:r>
      <w:r w:rsidR="00CD49FD">
        <w:t xml:space="preserve">that </w:t>
      </w:r>
      <w:r w:rsidR="000204CE">
        <w:t>are covered</w:t>
      </w:r>
      <w:r w:rsidR="00CD49FD">
        <w:t xml:space="preserve"> have access</w:t>
      </w:r>
      <w:r w:rsidR="000204CE">
        <w:t xml:space="preserve"> </w:t>
      </w:r>
      <w:r w:rsidR="00A162CF">
        <w:t xml:space="preserve">to </w:t>
      </w:r>
      <w:r w:rsidR="000204CE">
        <w:t>fewer carriers providing 4G LTE coverage.</w:t>
      </w:r>
      <w:r>
        <w:t xml:space="preserve">  </w:t>
      </w:r>
      <w:r>
        <w:t xml:space="preserve">The Commission will initiate a proceeding in the near term to address these deployment challenges and </w:t>
      </w:r>
      <w:r w:rsidR="00950801">
        <w:t xml:space="preserve">help </w:t>
      </w:r>
      <w:r>
        <w:t xml:space="preserve">to close the </w:t>
      </w:r>
      <w:r w:rsidR="00950801">
        <w:t>broadband gap on Tribal lands.</w:t>
      </w:r>
    </w:p>
    <w:p w:rsidR="00F55121" w:rsidRPr="00D85509" w:rsidP="00A946B0" w14:paraId="6150F0FD" w14:textId="68D611A1">
      <w:pPr>
        <w:pStyle w:val="Heading1"/>
      </w:pPr>
      <w:bookmarkStart w:id="4" w:name="_Toc6578192"/>
      <w:r w:rsidRPr="00D85509">
        <w:t>BACKGROUND</w:t>
      </w:r>
      <w:bookmarkEnd w:id="4"/>
    </w:p>
    <w:p w:rsidR="008E407B" w:rsidP="007F64CB" w14:paraId="28B8E2F6" w14:textId="49726345">
      <w:pPr>
        <w:spacing w:after="120"/>
        <w:ind w:firstLine="720"/>
      </w:pPr>
      <w:r w:rsidRPr="00D85509">
        <w:t xml:space="preserve">Tribal lands </w:t>
      </w:r>
      <w:r w:rsidR="0092316C">
        <w:t>often</w:t>
      </w:r>
      <w:r w:rsidRPr="00D85509">
        <w:t xml:space="preserve"> present significant obstacles to</w:t>
      </w:r>
      <w:r w:rsidR="00B605AF">
        <w:t xml:space="preserve"> deploying</w:t>
      </w:r>
      <w:r w:rsidRPr="00D85509">
        <w:t xml:space="preserve"> broadband</w:t>
      </w:r>
      <w:r w:rsidR="00B605AF">
        <w:t xml:space="preserve"> and are expensive to serve</w:t>
      </w:r>
      <w:r w:rsidRPr="00D85509" w:rsidR="00AA56B9">
        <w:t>.</w:t>
      </w:r>
      <w:r>
        <w:rPr>
          <w:rStyle w:val="FootnoteReference"/>
        </w:rPr>
        <w:footnoteReference w:id="6"/>
      </w:r>
      <w:r w:rsidRPr="00D85509" w:rsidR="00F2244C">
        <w:t xml:space="preserve"> </w:t>
      </w:r>
      <w:r w:rsidRPr="00D85509" w:rsidR="00AA56B9">
        <w:t xml:space="preserve"> </w:t>
      </w:r>
      <w:r w:rsidR="003A2ECC">
        <w:t>These</w:t>
      </w:r>
      <w:r w:rsidRPr="00D85509" w:rsidR="003A2ECC">
        <w:t xml:space="preserve"> </w:t>
      </w:r>
      <w:r w:rsidRPr="00D85509" w:rsidR="00446963">
        <w:t xml:space="preserve">challenges to deployment </w:t>
      </w:r>
      <w:r w:rsidRPr="00D85509" w:rsidR="0076136B">
        <w:t xml:space="preserve">on Tribal lands </w:t>
      </w:r>
      <w:r w:rsidRPr="00D85509" w:rsidR="00446963">
        <w:t>include rugged terrain, complex permitting processes governing access to Tribal lands, jurisdictional issues involving states and sovereign Tribal governments, lack of the necessary infrastructure, and a predominance of residential</w:t>
      </w:r>
      <w:r w:rsidRPr="00D85509" w:rsidR="00E75076">
        <w:t>,</w:t>
      </w:r>
      <w:r w:rsidRPr="00D85509" w:rsidR="00446963">
        <w:t xml:space="preserve"> rather than business</w:t>
      </w:r>
      <w:r w:rsidRPr="00D85509" w:rsidR="00E75076">
        <w:t>,</w:t>
      </w:r>
      <w:r w:rsidRPr="00D85509" w:rsidR="00446963">
        <w:t xml:space="preserve"> customers</w:t>
      </w:r>
      <w:r w:rsidRPr="00D85509" w:rsidR="00F2244C">
        <w:t>.</w:t>
      </w:r>
      <w:r>
        <w:rPr>
          <w:rStyle w:val="FootnoteReference"/>
        </w:rPr>
        <w:footnoteReference w:id="7"/>
      </w:r>
      <w:r w:rsidRPr="00D85509" w:rsidR="00F2244C">
        <w:t xml:space="preserve">  High poverty rates and low</w:t>
      </w:r>
      <w:r w:rsidRPr="00D85509" w:rsidR="00A475E7">
        <w:t>-</w:t>
      </w:r>
      <w:r w:rsidRPr="00D85509" w:rsidR="00F2244C">
        <w:t>income levels on Tribal lands</w:t>
      </w:r>
      <w:r w:rsidRPr="00D85509" w:rsidR="002D46E0">
        <w:t xml:space="preserve">, as well as </w:t>
      </w:r>
      <w:r w:rsidRPr="00D85509">
        <w:t>cultural and language barriers</w:t>
      </w:r>
      <w:r w:rsidRPr="00D85509" w:rsidR="002D46E0">
        <w:t>,</w:t>
      </w:r>
      <w:r w:rsidRPr="00D85509" w:rsidR="00F2244C">
        <w:t xml:space="preserve"> further </w:t>
      </w:r>
      <w:r w:rsidRPr="00D85509" w:rsidR="002D46E0">
        <w:t xml:space="preserve">inhibit </w:t>
      </w:r>
      <w:r w:rsidRPr="00D85509" w:rsidR="00F2244C">
        <w:t xml:space="preserve">the </w:t>
      </w:r>
      <w:r w:rsidRPr="00D85509" w:rsidR="002D46E0">
        <w:t xml:space="preserve">widespread availability of broadband </w:t>
      </w:r>
      <w:r w:rsidRPr="00D85509" w:rsidR="00F37A86">
        <w:t>to Tribal residents</w:t>
      </w:r>
      <w:r w:rsidRPr="00D85509" w:rsidR="00F2244C">
        <w:t>.</w:t>
      </w:r>
      <w:r>
        <w:rPr>
          <w:rStyle w:val="FootnoteReference"/>
        </w:rPr>
        <w:footnoteReference w:id="8"/>
      </w:r>
      <w:r w:rsidRPr="00D85509" w:rsidR="00F2244C">
        <w:t xml:space="preserve"> </w:t>
      </w:r>
    </w:p>
    <w:p w:rsidR="0034081A" w:rsidP="00914543" w14:paraId="3C888EE3" w14:textId="5E4AB776">
      <w:pPr>
        <w:widowControl/>
        <w:spacing w:after="120"/>
        <w:ind w:firstLine="720"/>
      </w:pPr>
      <w:r>
        <w:t>Additionally,</w:t>
      </w:r>
      <w:r w:rsidR="00BF6916">
        <w:t xml:space="preserve"> the population of </w:t>
      </w:r>
      <w:r w:rsidR="00DA376E">
        <w:t xml:space="preserve">individuals living on Tribal lands is disproportionately skewed toward rural, rather than urban, areas; </w:t>
      </w:r>
      <w:r w:rsidRPr="00D85509">
        <w:t>approximately 48%</w:t>
      </w:r>
      <w:r w:rsidR="00DA376E">
        <w:t xml:space="preserve"> of housing units on Tribal lands</w:t>
      </w:r>
      <w:r w:rsidRPr="00D85509">
        <w:t xml:space="preserve"> </w:t>
      </w:r>
      <w:r w:rsidRPr="00D85509">
        <w:t xml:space="preserve">are </w:t>
      </w:r>
      <w:r w:rsidR="00DA376E">
        <w:t xml:space="preserve">located </w:t>
      </w:r>
      <w:r w:rsidRPr="00D85509">
        <w:t>in</w:t>
      </w:r>
      <w:r w:rsidRPr="00D85509">
        <w:t xml:space="preserve"> rural areas </w:t>
      </w:r>
      <w:r w:rsidR="00DA376E">
        <w:t xml:space="preserve">compared to </w:t>
      </w:r>
      <w:r w:rsidRPr="00D85509">
        <w:t>approximately 21%</w:t>
      </w:r>
      <w:r w:rsidR="00DA376E">
        <w:t xml:space="preserve"> of non-Tribal housing units.  Moreover, Tribal lands, both rural and urban, tend to be less densely populated than non-Tribal lands.</w:t>
      </w:r>
      <w:r>
        <w:t xml:space="preserve">  For example, the linear density (i.e., the number of housing units per kilometer of road distance) data shown in Figure </w:t>
      </w:r>
      <w:r w:rsidR="00316FA5">
        <w:t>1</w:t>
      </w:r>
      <w:r>
        <w:t xml:space="preserve"> indicates substantial differences between Tribal and non-Tribal areas in both urban and rural blocks. </w:t>
      </w:r>
    </w:p>
    <w:p w:rsidR="00914543" w:rsidRPr="00914543" w:rsidP="00914543" w14:paraId="736D239F" w14:textId="7E0C36B7">
      <w:pPr>
        <w:widowControl/>
        <w:spacing w:after="120"/>
        <w:jc w:val="center"/>
        <w:rPr>
          <w:b/>
        </w:rPr>
      </w:pPr>
      <w:r w:rsidRPr="00914543">
        <w:rPr>
          <w:b/>
        </w:rPr>
        <w:t>Fig. 1</w:t>
      </w:r>
    </w:p>
    <w:p w:rsidR="0034081A" w:rsidRPr="00914543" w:rsidP="00914543" w14:paraId="393AB05B" w14:textId="5D558F79">
      <w:pPr>
        <w:spacing w:after="120"/>
        <w:jc w:val="center"/>
      </w:pPr>
      <w:r>
        <w:rPr>
          <w:noProof/>
        </w:rPr>
        <w:drawing>
          <wp:inline distT="0" distB="0" distL="0" distR="0">
            <wp:extent cx="4754879" cy="3962400"/>
            <wp:effectExtent l="0" t="0" r="8255"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2">
                      <a:extLst>
                        <a:ext uri="{96DAC541-7B7A-43D3-8B79-37D633B846F1}">
                          <asvg:svgBlip xmlns:asvg="http://schemas.microsoft.com/office/drawing/2016/SVG/main" r:embed="rId13"/>
                        </a:ext>
                      </a:extLst>
                    </a:blip>
                    <a:stretch>
                      <a:fillRect/>
                    </a:stretch>
                  </pic:blipFill>
                  <pic:spPr>
                    <a:xfrm>
                      <a:off x="0" y="0"/>
                      <a:ext cx="4771860" cy="3976551"/>
                    </a:xfrm>
                    <a:prstGeom prst="rect">
                      <a:avLst/>
                    </a:prstGeom>
                  </pic:spPr>
                </pic:pic>
              </a:graphicData>
            </a:graphic>
          </wp:inline>
        </w:drawing>
      </w:r>
    </w:p>
    <w:p w:rsidR="0034081A" w:rsidRPr="00D85509" w:rsidP="0034081A" w14:paraId="1B8C5CDE" w14:textId="5FB01FFE">
      <w:pPr>
        <w:spacing w:after="120"/>
        <w:ind w:firstLine="720"/>
      </w:pPr>
      <w:r>
        <w:t>T</w:t>
      </w:r>
      <w:r>
        <w:t>he lower density of Tribal areas is particularly magnified in rural areas;</w:t>
      </w:r>
      <w:r>
        <w:t xml:space="preserve"> as Figure 1 shows,</w:t>
      </w:r>
      <w:r>
        <w:t xml:space="preserve"> while only 36% of Tribal housing units in urban areas </w:t>
      </w:r>
      <w:r>
        <w:t>are located in</w:t>
      </w:r>
      <w:r>
        <w:t xml:space="preserve"> census block groups with 20 or fewer housing units per kilometer of road distance, 88% of Tribal housing units in rural areas are located in such census block groups.  Given that carriers must undertake significantly higher costs to construct broadband networks in remote, isolated areas, the lack of density in rural Tribal areas appears to have a </w:t>
      </w:r>
      <w:r w:rsidR="00A162CF">
        <w:t xml:space="preserve">negative </w:t>
      </w:r>
      <w:r>
        <w:t>effect on broadband deployment. </w:t>
      </w:r>
    </w:p>
    <w:p w:rsidR="00ED19B7" w:rsidRPr="00D85509" w:rsidP="007F64CB" w14:paraId="05076034" w14:textId="00C4FB2A">
      <w:pPr>
        <w:spacing w:after="120"/>
        <w:ind w:firstLine="720"/>
        <w:rPr>
          <w:rFonts w:eastAsia="Calibri"/>
          <w:i/>
        </w:rPr>
      </w:pPr>
      <w:r w:rsidRPr="00D85509">
        <w:rPr>
          <w:rFonts w:eastAsia="Calibri"/>
        </w:rPr>
        <w:t>The Commission has</w:t>
      </w:r>
      <w:r w:rsidR="00D66D0E">
        <w:rPr>
          <w:rFonts w:eastAsia="Calibri"/>
        </w:rPr>
        <w:t xml:space="preserve"> a</w:t>
      </w:r>
      <w:r w:rsidRPr="00D85509">
        <w:rPr>
          <w:rFonts w:eastAsia="Calibri"/>
        </w:rPr>
        <w:t xml:space="preserve"> long</w:t>
      </w:r>
      <w:r w:rsidR="00D66D0E">
        <w:rPr>
          <w:rFonts w:eastAsia="Calibri"/>
        </w:rPr>
        <w:t>-</w:t>
      </w:r>
      <w:r w:rsidRPr="00D85509">
        <w:rPr>
          <w:rFonts w:eastAsia="Calibri"/>
        </w:rPr>
        <w:t>recognized trust relationship with Tribal Nations.</w:t>
      </w:r>
      <w:r>
        <w:rPr>
          <w:rFonts w:eastAsia="Calibri"/>
          <w:sz w:val="20"/>
          <w:vertAlign w:val="superscript"/>
        </w:rPr>
        <w:footnoteReference w:id="9"/>
      </w:r>
      <w:r w:rsidRPr="00D85509">
        <w:rPr>
          <w:rFonts w:eastAsia="Calibri"/>
          <w:sz w:val="20"/>
        </w:rPr>
        <w:t xml:space="preserve"> </w:t>
      </w:r>
      <w:r w:rsidRPr="00D85509">
        <w:rPr>
          <w:rFonts w:eastAsia="Calibri"/>
        </w:rPr>
        <w:t xml:space="preserve"> This government-to-government relationship guides the Commission</w:t>
      </w:r>
      <w:r w:rsidR="00D66D0E">
        <w:rPr>
          <w:rFonts w:eastAsia="Calibri"/>
        </w:rPr>
        <w:t>’s</w:t>
      </w:r>
      <w:r w:rsidRPr="00D85509">
        <w:rPr>
          <w:rFonts w:eastAsia="Calibri"/>
        </w:rPr>
        <w:t xml:space="preserve"> dealings with Tribal Nations and </w:t>
      </w:r>
      <w:r w:rsidRPr="00D85509" w:rsidR="00F13ED2">
        <w:rPr>
          <w:rFonts w:eastAsia="Calibri"/>
        </w:rPr>
        <w:t>its</w:t>
      </w:r>
      <w:r w:rsidRPr="00D85509">
        <w:rPr>
          <w:rFonts w:eastAsia="Calibri"/>
        </w:rPr>
        <w:t xml:space="preserve"> efforts to promote Tribal self-sufficiency, economic development</w:t>
      </w:r>
      <w:r w:rsidRPr="00D85509" w:rsidR="00F13ED2">
        <w:rPr>
          <w:rFonts w:eastAsia="Calibri"/>
        </w:rPr>
        <w:t>,</w:t>
      </w:r>
      <w:r w:rsidRPr="00D85509">
        <w:rPr>
          <w:rFonts w:eastAsia="Calibri"/>
        </w:rPr>
        <w:t xml:space="preserve"> and access to communications facilities and services.</w:t>
      </w:r>
      <w:r>
        <w:rPr>
          <w:rStyle w:val="FootnoteReference"/>
          <w:rFonts w:eastAsia="Calibri"/>
        </w:rPr>
        <w:footnoteReference w:id="10"/>
      </w:r>
      <w:r w:rsidRPr="00D85509">
        <w:rPr>
          <w:rFonts w:eastAsia="Calibri"/>
          <w:i/>
        </w:rPr>
        <w:t xml:space="preserve">  </w:t>
      </w:r>
      <w:r w:rsidRPr="00D85509">
        <w:t xml:space="preserve">Given the complexity and challenges of expanding service to Tribal lands, the Commission has taken a multi-faceted approach that includes: engaging in ongoing consultation with Tribes on a </w:t>
      </w:r>
      <w:r w:rsidRPr="00D85509">
        <w:t>government-to-government basis, consistent with our trust responsibility; making funds available to support broadband access and deployment through the Universal Service Fund</w:t>
      </w:r>
      <w:r w:rsidRPr="00D85509" w:rsidR="00436927">
        <w:t xml:space="preserve"> (USF or Fund)</w:t>
      </w:r>
      <w:r w:rsidRPr="00D85509">
        <w:t>; and evaluating opportunities to make spectrum available for the provision of mobile broadband services on Tribal lands.</w:t>
      </w:r>
      <w:r>
        <w:rPr>
          <w:rStyle w:val="FootnoteReference"/>
        </w:rPr>
        <w:footnoteReference w:id="11"/>
      </w:r>
      <w:r w:rsidRPr="00D85509">
        <w:t xml:space="preserve">  </w:t>
      </w:r>
      <w:r w:rsidRPr="00D85509" w:rsidR="00B268B7">
        <w:t xml:space="preserve">Moreover, the Commission </w:t>
      </w:r>
      <w:r w:rsidR="00D66D0E">
        <w:t>has found</w:t>
      </w:r>
      <w:r w:rsidRPr="00D85509" w:rsidR="00D66D0E">
        <w:t xml:space="preserve"> </w:t>
      </w:r>
      <w:r w:rsidRPr="00D85509" w:rsidR="00B268B7">
        <w:t xml:space="preserve">that reducing regulatory barriers to entry and investment will encourage and promote </w:t>
      </w:r>
      <w:r w:rsidRPr="00D85509" w:rsidR="00446963">
        <w:t xml:space="preserve">competitive, dynamic, </w:t>
      </w:r>
      <w:r w:rsidRPr="00D85509" w:rsidR="00B268B7">
        <w:t>and innovative communication services.</w:t>
      </w:r>
      <w:r>
        <w:rPr>
          <w:rStyle w:val="FootnoteReference"/>
        </w:rPr>
        <w:footnoteReference w:id="12"/>
      </w:r>
      <w:r w:rsidRPr="00D85509" w:rsidR="00B268B7">
        <w:t xml:space="preserve"> </w:t>
      </w:r>
      <w:r w:rsidRPr="00D85509" w:rsidR="003A42F9">
        <w:t xml:space="preserve"> </w:t>
      </w:r>
      <w:r w:rsidRPr="00D85509" w:rsidR="00DA4880">
        <w:t xml:space="preserve">Thus, the </w:t>
      </w:r>
      <w:r w:rsidRPr="00D85509" w:rsidR="00B268B7">
        <w:t xml:space="preserve">Commission </w:t>
      </w:r>
      <w:r w:rsidRPr="00D85509" w:rsidR="00DA4880">
        <w:t xml:space="preserve">has acted </w:t>
      </w:r>
      <w:r w:rsidRPr="00D85509" w:rsidR="00B268B7">
        <w:t xml:space="preserve">in both wireline and wireless infrastructure proceedings to reduce </w:t>
      </w:r>
      <w:r w:rsidRPr="00D85509" w:rsidR="00AC6914">
        <w:t xml:space="preserve">the administrative burdens associated with </w:t>
      </w:r>
      <w:r w:rsidRPr="00D85509" w:rsidR="00B268B7">
        <w:t>deploy</w:t>
      </w:r>
      <w:r w:rsidRPr="00D85509" w:rsidR="00AC6914">
        <w:t>ing</w:t>
      </w:r>
      <w:r w:rsidRPr="00D85509" w:rsidR="00B268B7">
        <w:t xml:space="preserve"> broadband-capable networks.</w:t>
      </w:r>
      <w:r>
        <w:rPr>
          <w:rStyle w:val="FootnoteReference"/>
        </w:rPr>
        <w:footnoteReference w:id="13"/>
      </w:r>
      <w:r w:rsidRPr="00D85509" w:rsidR="00B268B7">
        <w:t xml:space="preserve"> </w:t>
      </w:r>
      <w:r w:rsidRPr="00D85509" w:rsidR="00DF0D42">
        <w:t xml:space="preserve"> </w:t>
      </w:r>
      <w:r w:rsidRPr="00D85509">
        <w:t xml:space="preserve">Together, these initiatives best leverage the Commission’s resources and authority to increase the availability of broadband services on Tribal lands.  </w:t>
      </w:r>
    </w:p>
    <w:p w:rsidR="001C7611" w:rsidRPr="00D85509" w:rsidP="007F64CB" w14:paraId="6BD609A5" w14:textId="77777777">
      <w:pPr>
        <w:pStyle w:val="Heading1"/>
      </w:pPr>
      <w:bookmarkStart w:id="5" w:name="_Toc2857470"/>
      <w:bookmarkStart w:id="6" w:name="_Toc6578193"/>
      <w:r w:rsidRPr="00D85509">
        <w:t xml:space="preserve">CURRENT </w:t>
      </w:r>
      <w:r w:rsidRPr="00D85509" w:rsidR="00434CBA">
        <w:t>DEPLOYMENT ON</w:t>
      </w:r>
      <w:r w:rsidRPr="00D85509" w:rsidR="006C0EE5">
        <w:t xml:space="preserve"> TRIBAL </w:t>
      </w:r>
      <w:r w:rsidRPr="00D85509" w:rsidR="00434CBA">
        <w:t>LANDS</w:t>
      </w:r>
      <w:bookmarkEnd w:id="5"/>
      <w:bookmarkEnd w:id="6"/>
    </w:p>
    <w:p w:rsidR="001C7611" w:rsidRPr="00D85509" w:rsidP="007F64CB" w14:paraId="50AFCED2" w14:textId="6FDFABFA">
      <w:pPr>
        <w:spacing w:after="120"/>
        <w:ind w:firstLine="720"/>
        <w:rPr>
          <w:b/>
        </w:rPr>
      </w:pPr>
      <w:r w:rsidRPr="00D85509">
        <w:t xml:space="preserve">The Commission has interpreted Section 254 of the </w:t>
      </w:r>
      <w:r w:rsidRPr="00D85509" w:rsidR="00A46D3E">
        <w:t>Communications</w:t>
      </w:r>
      <w:r w:rsidRPr="00D85509">
        <w:t xml:space="preserve"> Act as an obligation to ensure universal availability of broadband networks to all Americans, including Americans living on Tribal lands. </w:t>
      </w:r>
      <w:r w:rsidRPr="00D85509" w:rsidR="00A46D3E">
        <w:t xml:space="preserve"> </w:t>
      </w:r>
      <w:r w:rsidRPr="00E546AB">
        <w:t xml:space="preserve">To that end, </w:t>
      </w:r>
      <w:bookmarkStart w:id="7" w:name="_Hlk190250"/>
      <w:r w:rsidRPr="00E546AB" w:rsidR="00446963">
        <w:t xml:space="preserve">the Commission has </w:t>
      </w:r>
      <w:r w:rsidRPr="00E546AB" w:rsidR="00F706E6">
        <w:t xml:space="preserve">established a baseline </w:t>
      </w:r>
      <w:r w:rsidRPr="00E546AB" w:rsidR="00E546AB">
        <w:t>standard</w:t>
      </w:r>
      <w:r w:rsidRPr="00E546AB" w:rsidR="00F706E6">
        <w:t xml:space="preserve"> </w:t>
      </w:r>
      <w:r w:rsidRPr="00E546AB" w:rsidR="00E546AB">
        <w:t xml:space="preserve">for </w:t>
      </w:r>
      <w:r w:rsidRPr="00E546AB" w:rsidR="00566694">
        <w:t xml:space="preserve">fixed </w:t>
      </w:r>
      <w:r w:rsidRPr="00E546AB" w:rsidR="00BF6A50">
        <w:t xml:space="preserve">broadband </w:t>
      </w:r>
      <w:r w:rsidRPr="00E546AB" w:rsidR="00446963">
        <w:t xml:space="preserve">at speeds of </w:t>
      </w:r>
      <w:r w:rsidRPr="00E546AB" w:rsidR="00E546AB">
        <w:t>25/3 Mbps for</w:t>
      </w:r>
      <w:r w:rsidRPr="00E546AB" w:rsidR="00446963">
        <w:t xml:space="preserve"> high-cost areas, including Tribal lands</w:t>
      </w:r>
      <w:r w:rsidRPr="00E546AB">
        <w:t>.</w:t>
      </w:r>
      <w:r>
        <w:rPr>
          <w:rStyle w:val="FootnoteReference"/>
        </w:rPr>
        <w:footnoteReference w:id="14"/>
      </w:r>
      <w:r w:rsidRPr="00D85509">
        <w:t xml:space="preserve"> </w:t>
      </w:r>
      <w:bookmarkEnd w:id="7"/>
      <w:r w:rsidRPr="00D85509" w:rsidR="00A46D3E">
        <w:t xml:space="preserve"> </w:t>
      </w:r>
      <w:r w:rsidRPr="00D85509" w:rsidR="00DA4880">
        <w:t>A</w:t>
      </w:r>
      <w:r w:rsidRPr="00D85509" w:rsidR="00A46D3E">
        <w:t>s consumer expectations</w:t>
      </w:r>
      <w:r w:rsidRPr="00D85509" w:rsidR="002C594D">
        <w:t xml:space="preserve"> continue to increase, </w:t>
      </w:r>
      <w:r w:rsidRPr="00D85509" w:rsidR="00A46D3E">
        <w:t xml:space="preserve">it is important to evaluate </w:t>
      </w:r>
      <w:r w:rsidRPr="00D85509" w:rsidR="00DA4880">
        <w:t xml:space="preserve">broadband </w:t>
      </w:r>
      <w:r w:rsidRPr="00D85509" w:rsidR="00A46D3E">
        <w:t xml:space="preserve">deployment </w:t>
      </w:r>
      <w:r w:rsidRPr="00D85509" w:rsidR="002C594D">
        <w:t xml:space="preserve">across a </w:t>
      </w:r>
      <w:r w:rsidRPr="00D85509" w:rsidR="00A46D3E">
        <w:t xml:space="preserve">range of speeds to determine whether </w:t>
      </w:r>
      <w:r w:rsidRPr="00D85509" w:rsidR="00F2106B">
        <w:t>adequate service</w:t>
      </w:r>
      <w:r w:rsidR="00F2106B">
        <w:t>s are available on</w:t>
      </w:r>
      <w:r w:rsidRPr="00D85509" w:rsidR="00F2106B">
        <w:t xml:space="preserve"> </w:t>
      </w:r>
      <w:r w:rsidRPr="00D85509" w:rsidR="00A46D3E">
        <w:t>Tribal lands</w:t>
      </w:r>
      <w:r w:rsidRPr="00D85509" w:rsidR="009C72F9">
        <w:t xml:space="preserve">.  </w:t>
      </w:r>
    </w:p>
    <w:p w:rsidR="00581E5A" w:rsidRPr="00D85509" w:rsidP="007F64CB" w14:paraId="5B93D88A" w14:textId="1A72969D">
      <w:pPr>
        <w:pStyle w:val="Heading2"/>
      </w:pPr>
      <w:bookmarkStart w:id="8" w:name="_Toc2857471"/>
      <w:bookmarkStart w:id="9" w:name="_Toc6578194"/>
      <w:r w:rsidRPr="00D85509">
        <w:t>Data</w:t>
      </w:r>
      <w:r w:rsidRPr="00D85509" w:rsidR="00642A0D">
        <w:t xml:space="preserve"> and Methodology</w:t>
      </w:r>
      <w:r w:rsidRPr="00D85509">
        <w:t xml:space="preserve"> Overview</w:t>
      </w:r>
      <w:bookmarkEnd w:id="8"/>
      <w:bookmarkEnd w:id="9"/>
    </w:p>
    <w:p w:rsidR="007F64CB" w:rsidRPr="00D85509" w:rsidP="007F64CB" w14:paraId="6C7A3686" w14:textId="7DF22CF4">
      <w:pPr>
        <w:spacing w:after="120"/>
        <w:ind w:firstLine="720"/>
      </w:pPr>
      <w:r w:rsidRPr="00D85509">
        <w:rPr>
          <w:szCs w:val="24"/>
        </w:rPr>
        <w:t>The</w:t>
      </w:r>
      <w:r w:rsidRPr="00D85509" w:rsidR="00152740">
        <w:rPr>
          <w:szCs w:val="24"/>
        </w:rPr>
        <w:t xml:space="preserve"> </w:t>
      </w:r>
      <w:r w:rsidRPr="00D85509" w:rsidR="003E3E02">
        <w:rPr>
          <w:szCs w:val="24"/>
        </w:rPr>
        <w:t xml:space="preserve">deployment </w:t>
      </w:r>
      <w:r w:rsidRPr="00D85509" w:rsidR="00152740">
        <w:rPr>
          <w:szCs w:val="24"/>
        </w:rPr>
        <w:t xml:space="preserve">data underlying this report result from the Commission’s FCC Form 477 data collection. </w:t>
      </w:r>
      <w:r w:rsidRPr="00D85509">
        <w:rPr>
          <w:szCs w:val="24"/>
        </w:rPr>
        <w:t xml:space="preserve"> </w:t>
      </w:r>
      <w:r w:rsidRPr="00D85509" w:rsidR="00152740">
        <w:rPr>
          <w:szCs w:val="24"/>
        </w:rPr>
        <w:t xml:space="preserve">The </w:t>
      </w:r>
      <w:r w:rsidRPr="00D85509">
        <w:rPr>
          <w:szCs w:val="24"/>
        </w:rPr>
        <w:t xml:space="preserve">Commission uses FCC Form 477 to collect voice and broadband data from all facilities-based providers of mobile and fixed telecommunication </w:t>
      </w:r>
      <w:r w:rsidRPr="00D85509" w:rsidR="00AA1B1A">
        <w:rPr>
          <w:szCs w:val="24"/>
        </w:rPr>
        <w:t>service</w:t>
      </w:r>
      <w:r w:rsidRPr="00D85509">
        <w:rPr>
          <w:szCs w:val="24"/>
        </w:rPr>
        <w:t>s.</w:t>
      </w:r>
      <w:r w:rsidRPr="00D85509" w:rsidR="00152740">
        <w:rPr>
          <w:szCs w:val="24"/>
        </w:rPr>
        <w:t xml:space="preserve"> </w:t>
      </w:r>
      <w:r w:rsidRPr="00D85509">
        <w:rPr>
          <w:szCs w:val="24"/>
        </w:rPr>
        <w:t xml:space="preserve"> </w:t>
      </w:r>
      <w:r w:rsidRPr="00D85509" w:rsidR="00446963">
        <w:rPr>
          <w:szCs w:val="24"/>
        </w:rPr>
        <w:t xml:space="preserve">These data are </w:t>
      </w:r>
      <w:r w:rsidRPr="00D85509">
        <w:rPr>
          <w:szCs w:val="24"/>
        </w:rPr>
        <w:t xml:space="preserve">used </w:t>
      </w:r>
      <w:r w:rsidRPr="00D85509" w:rsidR="003E3E02">
        <w:rPr>
          <w:szCs w:val="24"/>
        </w:rPr>
        <w:t xml:space="preserve">by the Commission </w:t>
      </w:r>
      <w:r w:rsidRPr="00D85509">
        <w:rPr>
          <w:szCs w:val="24"/>
        </w:rPr>
        <w:t xml:space="preserve">to produce </w:t>
      </w:r>
      <w:r w:rsidRPr="00D85509" w:rsidR="003A42F9">
        <w:rPr>
          <w:szCs w:val="24"/>
        </w:rPr>
        <w:t xml:space="preserve">the various maps and </w:t>
      </w:r>
      <w:r w:rsidRPr="00D85509">
        <w:rPr>
          <w:szCs w:val="24"/>
        </w:rPr>
        <w:t>reports o</w:t>
      </w:r>
      <w:r w:rsidRPr="00D85509" w:rsidR="003A42F9">
        <w:rPr>
          <w:szCs w:val="24"/>
        </w:rPr>
        <w:t>n</w:t>
      </w:r>
      <w:r w:rsidRPr="00D85509">
        <w:rPr>
          <w:szCs w:val="24"/>
        </w:rPr>
        <w:t xml:space="preserve"> the state of voice and broadband coverage in the United States, as well as </w:t>
      </w:r>
      <w:r w:rsidRPr="00D85509" w:rsidR="0076136B">
        <w:rPr>
          <w:szCs w:val="24"/>
        </w:rPr>
        <w:t xml:space="preserve">to </w:t>
      </w:r>
      <w:r w:rsidRPr="00D85509">
        <w:rPr>
          <w:szCs w:val="24"/>
        </w:rPr>
        <w:t xml:space="preserve">inform </w:t>
      </w:r>
      <w:r w:rsidRPr="00D85509" w:rsidR="003E3E02">
        <w:rPr>
          <w:szCs w:val="24"/>
        </w:rPr>
        <w:t>the Commission’s</w:t>
      </w:r>
      <w:r w:rsidRPr="00D85509">
        <w:rPr>
          <w:szCs w:val="24"/>
        </w:rPr>
        <w:t xml:space="preserve"> policy decisions</w:t>
      </w:r>
      <w:r w:rsidRPr="00D85509" w:rsidR="003A42F9">
        <w:rPr>
          <w:szCs w:val="24"/>
        </w:rPr>
        <w:t>.</w:t>
      </w:r>
      <w:r>
        <w:rPr>
          <w:rStyle w:val="FootnoteReference"/>
          <w:szCs w:val="24"/>
        </w:rPr>
        <w:footnoteReference w:id="15"/>
      </w:r>
      <w:r w:rsidRPr="00D85509" w:rsidR="003A42F9">
        <w:rPr>
          <w:szCs w:val="24"/>
        </w:rPr>
        <w:t xml:space="preserve">  </w:t>
      </w:r>
      <w:r w:rsidRPr="00D85509">
        <w:t xml:space="preserve">The population and housing unit counts reflected in this report are based on the same block-level estimates used in the Commission’s </w:t>
      </w:r>
      <w:r w:rsidRPr="00D85509">
        <w:rPr>
          <w:i/>
        </w:rPr>
        <w:t>Broadband Deployment Report</w:t>
      </w:r>
      <w:r w:rsidRPr="00D85509">
        <w:t>.</w:t>
      </w:r>
      <w:r>
        <w:rPr>
          <w:rStyle w:val="FootnoteReference"/>
        </w:rPr>
        <w:footnoteReference w:id="16"/>
      </w:r>
      <w:r w:rsidRPr="00D85509">
        <w:t xml:space="preserve">  </w:t>
      </w:r>
    </w:p>
    <w:p w:rsidR="007F64CB" w:rsidRPr="00D85509" w:rsidP="006D50A3" w14:paraId="0D671FE5" w14:textId="4EB37A2F">
      <w:pPr>
        <w:spacing w:after="120"/>
        <w:ind w:firstLine="720"/>
      </w:pPr>
      <w:r w:rsidRPr="00D85509">
        <w:t xml:space="preserve">In this report, the fixed broadband coverage </w:t>
      </w:r>
      <w:r w:rsidR="0040766D">
        <w:t>numbers</w:t>
      </w:r>
      <w:r w:rsidRPr="00D85509" w:rsidR="0040766D">
        <w:t xml:space="preserve"> </w:t>
      </w:r>
      <w:r w:rsidRPr="00D85509">
        <w:t>rely on the December 2017 Form 477 fixed-broadband deployment data.</w:t>
      </w:r>
      <w:r>
        <w:rPr>
          <w:rStyle w:val="FootnoteReference"/>
        </w:rPr>
        <w:footnoteReference w:id="17"/>
      </w:r>
      <w:r w:rsidRPr="00D85509">
        <w:t xml:space="preserve">  Only residential broadband is included in this analysis.  The “Any </w:t>
      </w:r>
      <w:r w:rsidRPr="00D85509">
        <w:t xml:space="preserve">Technology” category </w:t>
      </w:r>
      <w:r w:rsidRPr="00D85509" w:rsidR="00DA4880">
        <w:t xml:space="preserve">on Form 477 </w:t>
      </w:r>
      <w:r w:rsidRPr="00D85509">
        <w:t>includes any fixed broadband technology, the “Any Terrestrial” category excludes satellite but includes all other</w:t>
      </w:r>
      <w:r w:rsidRPr="00D85509" w:rsidR="003E3E02">
        <w:t xml:space="preserve"> fixed</w:t>
      </w:r>
      <w:r w:rsidRPr="00D85509">
        <w:t xml:space="preserve"> technologies, and the “Any Wired” </w:t>
      </w:r>
      <w:r w:rsidRPr="00D85509" w:rsidR="003E3E02">
        <w:t xml:space="preserve">category </w:t>
      </w:r>
      <w:r w:rsidRPr="00D85509">
        <w:t xml:space="preserve">includes only </w:t>
      </w:r>
      <w:r w:rsidRPr="00D85509">
        <w:rPr>
          <w:shd w:val="clear" w:color="auto" w:fill="FFFFFF"/>
        </w:rPr>
        <w:t>Asymmetric digital subscriber line (</w:t>
      </w:r>
      <w:r w:rsidRPr="00D85509">
        <w:t>ADSL</w:t>
      </w:r>
      <w:r w:rsidRPr="00D85509">
        <w:t>)</w:t>
      </w:r>
      <w:r w:rsidRPr="00D85509">
        <w:t>, cable</w:t>
      </w:r>
      <w:r w:rsidRPr="00D85509">
        <w:t>,</w:t>
      </w:r>
      <w:r w:rsidRPr="00D85509">
        <w:t xml:space="preserve"> and fiber</w:t>
      </w:r>
      <w:r w:rsidRPr="00D85509">
        <w:t xml:space="preserve">. </w:t>
      </w:r>
      <w:r w:rsidRPr="00D85509">
        <w:t xml:space="preserve"> </w:t>
      </w:r>
    </w:p>
    <w:p w:rsidR="002518FA" w:rsidRPr="00D85509" w:rsidP="007F64CB" w14:paraId="305611F5" w14:textId="56634C7E">
      <w:pPr>
        <w:spacing w:after="120"/>
        <w:ind w:firstLine="720"/>
      </w:pPr>
      <w:r w:rsidRPr="00D85509">
        <w:t>The m</w:t>
      </w:r>
      <w:r w:rsidRPr="00D85509">
        <w:t>obile</w:t>
      </w:r>
      <w:r w:rsidRPr="00D85509">
        <w:t xml:space="preserve"> </w:t>
      </w:r>
      <w:r w:rsidRPr="00D85509">
        <w:t xml:space="preserve">broadband coverage </w:t>
      </w:r>
      <w:r w:rsidR="0040766D">
        <w:t>numbers</w:t>
      </w:r>
      <w:r w:rsidRPr="00D85509" w:rsidR="0040766D">
        <w:t xml:space="preserve"> </w:t>
      </w:r>
      <w:r w:rsidRPr="00D85509" w:rsidR="00DA4880">
        <w:t xml:space="preserve">in this Report </w:t>
      </w:r>
      <w:r w:rsidRPr="00D85509">
        <w:t xml:space="preserve">similarly </w:t>
      </w:r>
      <w:r w:rsidRPr="00D85509">
        <w:t>rely on the December 2017 Form 477 mobile broadband deployment data using the centroid methodology for any LTE coverage</w:t>
      </w:r>
      <w:r w:rsidRPr="00D85509">
        <w:t>.</w:t>
      </w:r>
      <w:r>
        <w:rPr>
          <w:rStyle w:val="FootnoteReference"/>
        </w:rPr>
        <w:footnoteReference w:id="18"/>
      </w:r>
      <w:r w:rsidRPr="00D85509">
        <w:t xml:space="preserve">  Each </w:t>
      </w:r>
      <w:r w:rsidRPr="00D85509" w:rsidR="006E503D">
        <w:t>census</w:t>
      </w:r>
      <w:r w:rsidRPr="00D85509" w:rsidR="007C00CC">
        <w:t xml:space="preserve"> </w:t>
      </w:r>
      <w:r w:rsidRPr="00D85509">
        <w:t>block is classified according to the number of LTE providers</w:t>
      </w:r>
      <w:r w:rsidRPr="00D85509" w:rsidR="00DA4880">
        <w:t xml:space="preserve"> serving that census block</w:t>
      </w:r>
      <w:r w:rsidRPr="00D85509">
        <w:t xml:space="preserve">.  </w:t>
      </w:r>
      <w:r w:rsidRPr="00D85509" w:rsidR="007C00CC">
        <w:t>Census b</w:t>
      </w:r>
      <w:r w:rsidRPr="00D85509">
        <w:t>lock areas include only land area according to 2010 U</w:t>
      </w:r>
      <w:r w:rsidRPr="00D85509" w:rsidR="00DA4880">
        <w:t>.</w:t>
      </w:r>
      <w:r w:rsidRPr="00D85509">
        <w:t>S</w:t>
      </w:r>
      <w:r w:rsidRPr="00D85509" w:rsidR="00DA4880">
        <w:t>.</w:t>
      </w:r>
      <w:r w:rsidRPr="00D85509">
        <w:t xml:space="preserve"> Census Bureau figures.</w:t>
      </w:r>
      <w:r>
        <w:rPr>
          <w:rStyle w:val="FootnoteReference"/>
        </w:rPr>
        <w:footnoteReference w:id="19"/>
      </w:r>
      <w:r w:rsidRPr="00D85509">
        <w:t xml:space="preserve">  The population, number of road miles and area in square miles is summed for the number of providers for </w:t>
      </w:r>
      <w:r w:rsidRPr="00D85509" w:rsidR="003E3E02">
        <w:t>T</w:t>
      </w:r>
      <w:r w:rsidRPr="00D85509">
        <w:t>ribal and non-</w:t>
      </w:r>
      <w:r w:rsidRPr="00D85509" w:rsidR="003E3E02">
        <w:t>T</w:t>
      </w:r>
      <w:r w:rsidRPr="00D85509">
        <w:t>ribal areas.</w:t>
      </w:r>
      <w:r>
        <w:rPr>
          <w:rStyle w:val="FootnoteReference"/>
        </w:rPr>
        <w:footnoteReference w:id="20"/>
      </w:r>
      <w:r w:rsidRPr="00D85509">
        <w:t xml:space="preserve">  </w:t>
      </w:r>
    </w:p>
    <w:p w:rsidR="00FE5608" w:rsidRPr="00D85509" w:rsidP="007F64CB" w14:paraId="2F312811" w14:textId="5545D3BF">
      <w:pPr>
        <w:spacing w:after="120"/>
        <w:ind w:firstLine="720"/>
        <w:rPr>
          <w:rFonts w:ascii="Calibri" w:hAnsi="Calibri"/>
          <w:b/>
        </w:rPr>
      </w:pPr>
      <w:r>
        <w:rPr>
          <w:szCs w:val="24"/>
        </w:rPr>
        <w:t xml:space="preserve">The Commission is aware of </w:t>
      </w:r>
      <w:r w:rsidR="00374484">
        <w:rPr>
          <w:szCs w:val="24"/>
        </w:rPr>
        <w:t>shortcomings in the Form 477 data collection, and w</w:t>
      </w:r>
      <w:r w:rsidRPr="00D85509" w:rsidR="007F64CB">
        <w:rPr>
          <w:szCs w:val="24"/>
        </w:rPr>
        <w:t>hen</w:t>
      </w:r>
      <w:r w:rsidRPr="00D85509" w:rsidR="002518FA">
        <w:rPr>
          <w:szCs w:val="24"/>
        </w:rPr>
        <w:t xml:space="preserve"> </w:t>
      </w:r>
      <w:r w:rsidRPr="00D85509" w:rsidR="007F64CB">
        <w:rPr>
          <w:szCs w:val="24"/>
        </w:rPr>
        <w:t xml:space="preserve">the FCC Form 477 data </w:t>
      </w:r>
      <w:r w:rsidRPr="00D85509" w:rsidR="00446963">
        <w:rPr>
          <w:szCs w:val="24"/>
        </w:rPr>
        <w:t xml:space="preserve">are used to inform </w:t>
      </w:r>
      <w:r w:rsidR="00374484">
        <w:rPr>
          <w:szCs w:val="24"/>
        </w:rPr>
        <w:t>its</w:t>
      </w:r>
      <w:r w:rsidRPr="00D85509" w:rsidR="00446963">
        <w:rPr>
          <w:szCs w:val="24"/>
        </w:rPr>
        <w:t xml:space="preserve"> funding and policy decisions, the Commission considers </w:t>
      </w:r>
      <w:r w:rsidR="00374484">
        <w:rPr>
          <w:szCs w:val="24"/>
        </w:rPr>
        <w:t xml:space="preserve">the </w:t>
      </w:r>
      <w:r w:rsidRPr="00D85509" w:rsidR="00446963">
        <w:rPr>
          <w:szCs w:val="24"/>
        </w:rPr>
        <w:t>limitations and challenges</w:t>
      </w:r>
      <w:r w:rsidR="00374484">
        <w:rPr>
          <w:szCs w:val="24"/>
        </w:rPr>
        <w:t xml:space="preserve"> of the dataset</w:t>
      </w:r>
      <w:r w:rsidRPr="00D85509" w:rsidR="002518FA">
        <w:rPr>
          <w:szCs w:val="24"/>
        </w:rPr>
        <w:t>.</w:t>
      </w:r>
      <w:r>
        <w:rPr>
          <w:rStyle w:val="FootnoteReference"/>
          <w:szCs w:val="24"/>
        </w:rPr>
        <w:footnoteReference w:id="21"/>
      </w:r>
      <w:r w:rsidRPr="00D85509" w:rsidR="007F64CB">
        <w:rPr>
          <w:szCs w:val="24"/>
        </w:rPr>
        <w:t xml:space="preserve">  </w:t>
      </w:r>
      <w:r w:rsidRPr="00D85509" w:rsidR="00335D03">
        <w:rPr>
          <w:szCs w:val="24"/>
        </w:rPr>
        <w:t>T</w:t>
      </w:r>
      <w:r w:rsidRPr="00D85509" w:rsidR="00FE12EA">
        <w:t>he Commission</w:t>
      </w:r>
      <w:r w:rsidRPr="00D85509" w:rsidR="008736D0">
        <w:t xml:space="preserve"> </w:t>
      </w:r>
      <w:r w:rsidRPr="00D85509" w:rsidR="00FE12EA">
        <w:t xml:space="preserve">has </w:t>
      </w:r>
      <w:r w:rsidRPr="00D85509" w:rsidR="003E3E02">
        <w:t xml:space="preserve">an open </w:t>
      </w:r>
      <w:r w:rsidRPr="00D85509" w:rsidR="00FE12EA">
        <w:t>proceeding</w:t>
      </w:r>
      <w:r w:rsidRPr="00D85509" w:rsidR="003E3E02">
        <w:t xml:space="preserve"> considering ways to improve the accuracy and granularity of that data collection</w:t>
      </w:r>
      <w:r w:rsidRPr="00D85509" w:rsidR="00B92448">
        <w:t>.</w:t>
      </w:r>
      <w:r>
        <w:rPr>
          <w:rStyle w:val="FootnoteReference"/>
        </w:rPr>
        <w:footnoteReference w:id="22"/>
      </w:r>
      <w:r w:rsidRPr="00D85509" w:rsidR="00FE12EA">
        <w:t xml:space="preserve">  Among </w:t>
      </w:r>
      <w:r w:rsidRPr="00D85509" w:rsidR="00B92448">
        <w:t xml:space="preserve">other matters, </w:t>
      </w:r>
      <w:r w:rsidRPr="00D85509" w:rsidR="00FE12EA">
        <w:t>the Commission</w:t>
      </w:r>
      <w:r w:rsidRPr="00D85509" w:rsidR="00C1410C">
        <w:t xml:space="preserve"> </w:t>
      </w:r>
      <w:r w:rsidRPr="00D85509" w:rsidR="00B92448">
        <w:t xml:space="preserve">sought comment on </w:t>
      </w:r>
      <w:r w:rsidRPr="00D85509" w:rsidR="00C1410C">
        <w:t>whether</w:t>
      </w:r>
      <w:r w:rsidRPr="00D85509" w:rsidR="00B92448">
        <w:t xml:space="preserve"> “it should</w:t>
      </w:r>
      <w:r w:rsidRPr="00D85509" w:rsidR="00C1410C">
        <w:t xml:space="preserve"> </w:t>
      </w:r>
      <w:r w:rsidRPr="00D85509" w:rsidR="00B92448">
        <w:t>move to a more granular basis for reporting deployment data and, if so, what basis would be appropriate.”</w:t>
      </w:r>
      <w:r>
        <w:rPr>
          <w:rStyle w:val="FootnoteReference"/>
        </w:rPr>
        <w:footnoteReference w:id="23"/>
      </w:r>
      <w:r w:rsidRPr="00D85509" w:rsidR="00B92448">
        <w:t xml:space="preserve">  </w:t>
      </w:r>
      <w:r w:rsidR="00E37ACD">
        <w:t>T</w:t>
      </w:r>
      <w:r w:rsidRPr="00D85509" w:rsidR="00E37ACD">
        <w:t>he Act directs the Commission to initiate a proceeding to address unserved Tribal areas identified in this report</w:t>
      </w:r>
      <w:r w:rsidR="00884701">
        <w:t>,</w:t>
      </w:r>
      <w:r>
        <w:rPr>
          <w:rStyle w:val="FootnoteReference"/>
        </w:rPr>
        <w:footnoteReference w:id="24"/>
      </w:r>
      <w:r w:rsidRPr="00D85509" w:rsidR="00E37ACD">
        <w:t> </w:t>
      </w:r>
      <w:r w:rsidR="00884701">
        <w:t>which will provide t</w:t>
      </w:r>
      <w:r w:rsidRPr="00D85509" w:rsidR="00BD6BFA">
        <w:t xml:space="preserve">he Commission </w:t>
      </w:r>
      <w:r w:rsidR="00884701">
        <w:t>with</w:t>
      </w:r>
      <w:r w:rsidR="00E37ACD">
        <w:t xml:space="preserve"> the opportunity</w:t>
      </w:r>
      <w:r w:rsidRPr="00D85509" w:rsidR="00E37ACD">
        <w:t xml:space="preserve"> </w:t>
      </w:r>
      <w:r w:rsidRPr="00D85509" w:rsidR="00335D03">
        <w:t xml:space="preserve">to explore </w:t>
      </w:r>
      <w:r w:rsidRPr="00D85509" w:rsidR="00AA42EA">
        <w:t>potential options for</w:t>
      </w:r>
      <w:r w:rsidRPr="00D85509" w:rsidR="003276D9">
        <w:t xml:space="preserve"> improving and refining Tribal broadband deployment data, including s</w:t>
      </w:r>
      <w:r w:rsidRPr="00D85509" w:rsidR="00B92448">
        <w:t>eeking</w:t>
      </w:r>
      <w:r w:rsidRPr="00D85509" w:rsidR="003276D9">
        <w:t xml:space="preserve"> additional input </w:t>
      </w:r>
      <w:r w:rsidRPr="00D85509" w:rsidR="00B92448">
        <w:t>o</w:t>
      </w:r>
      <w:r w:rsidRPr="00D85509" w:rsidR="003276D9">
        <w:t xml:space="preserve">n the data collection process from </w:t>
      </w:r>
      <w:r w:rsidRPr="00D85509" w:rsidR="00BD6BFA">
        <w:t>both individual Tribes and inter-Tribal organizations on a national and regional basis</w:t>
      </w:r>
      <w:r w:rsidRPr="00D85509" w:rsidR="00AA42EA">
        <w:t>.</w:t>
      </w:r>
    </w:p>
    <w:p w:rsidR="00F13ED2" w:rsidRPr="00D85509" w:rsidP="007F64CB" w14:paraId="307AC887" w14:textId="6DA0BE8C">
      <w:pPr>
        <w:pStyle w:val="Heading2"/>
      </w:pPr>
      <w:bookmarkStart w:id="11" w:name="_Toc2857472"/>
      <w:bookmarkStart w:id="12" w:name="_Toc6578195"/>
      <w:r w:rsidRPr="00D85509">
        <w:t xml:space="preserve">Fixed </w:t>
      </w:r>
      <w:r w:rsidRPr="00D85509" w:rsidR="009C72F9">
        <w:t xml:space="preserve">Broadband </w:t>
      </w:r>
      <w:r w:rsidRPr="00D85509">
        <w:t>Deployment</w:t>
      </w:r>
      <w:bookmarkEnd w:id="11"/>
      <w:bookmarkEnd w:id="12"/>
    </w:p>
    <w:p w:rsidR="009C72F9" w:rsidP="00914543" w14:paraId="1833BE39" w14:textId="552F7AEE">
      <w:pPr>
        <w:widowControl/>
        <w:spacing w:after="120"/>
        <w:ind w:firstLine="720"/>
      </w:pPr>
      <w:r w:rsidRPr="00D85509">
        <w:t xml:space="preserve">In this </w:t>
      </w:r>
      <w:r w:rsidRPr="00D85509" w:rsidR="00336E55">
        <w:t>section</w:t>
      </w:r>
      <w:r w:rsidRPr="00D85509">
        <w:t xml:space="preserve">, </w:t>
      </w:r>
      <w:r w:rsidRPr="00D85509" w:rsidR="00B92448">
        <w:t>we evaluate</w:t>
      </w:r>
      <w:r w:rsidRPr="00D85509">
        <w:t xml:space="preserve"> fixed broadband deployment</w:t>
      </w:r>
      <w:r w:rsidRPr="00D85509" w:rsidR="00417CE4">
        <w:t xml:space="preserve"> on Tribal lands</w:t>
      </w:r>
      <w:r w:rsidRPr="00D85509">
        <w:t xml:space="preserve"> across a range of speeds</w:t>
      </w:r>
      <w:r w:rsidRPr="00D85509" w:rsidR="006C5FA7">
        <w:t xml:space="preserve">.  </w:t>
      </w:r>
      <w:r w:rsidRPr="00D85509" w:rsidR="00A9544C">
        <w:t>W</w:t>
      </w:r>
      <w:r w:rsidRPr="00D85509" w:rsidR="00417CE4">
        <w:t xml:space="preserve">hile </w:t>
      </w:r>
      <w:r w:rsidRPr="00D85509" w:rsidR="00B92448">
        <w:t>substantial</w:t>
      </w:r>
      <w:r w:rsidRPr="00D85509" w:rsidR="00417CE4">
        <w:t xml:space="preserve"> </w:t>
      </w:r>
      <w:r w:rsidRPr="00D85509" w:rsidR="00424B93">
        <w:t>progress</w:t>
      </w:r>
      <w:r w:rsidRPr="00D85509" w:rsidR="00417CE4">
        <w:t xml:space="preserve"> ha</w:t>
      </w:r>
      <w:r w:rsidRPr="00D85509" w:rsidR="00424B93">
        <w:t>s</w:t>
      </w:r>
      <w:r w:rsidRPr="00D85509" w:rsidR="00417CE4">
        <w:t xml:space="preserve"> been made in reaching the Commission’s goal of bringing </w:t>
      </w:r>
      <w:r w:rsidR="005A648E">
        <w:t xml:space="preserve">high-speed </w:t>
      </w:r>
      <w:r w:rsidR="005A648E">
        <w:t xml:space="preserve">Internet access </w:t>
      </w:r>
      <w:r w:rsidRPr="00D85509" w:rsidR="00417CE4">
        <w:t xml:space="preserve">to high-cost areas, including Tribal lands, </w:t>
      </w:r>
      <w:r w:rsidR="00AF6796">
        <w:t>more</w:t>
      </w:r>
      <w:r w:rsidRPr="00D85509">
        <w:t xml:space="preserve"> work </w:t>
      </w:r>
      <w:r w:rsidRPr="00D85509" w:rsidR="006C5FA7">
        <w:t xml:space="preserve">remains to increase </w:t>
      </w:r>
      <w:r w:rsidR="005A648E">
        <w:t>deployment of</w:t>
      </w:r>
      <w:r w:rsidRPr="00D85509" w:rsidR="006C5FA7">
        <w:t xml:space="preserve"> </w:t>
      </w:r>
      <w:r w:rsidRPr="00D85509" w:rsidR="009113A7">
        <w:t xml:space="preserve">fixed </w:t>
      </w:r>
      <w:r w:rsidRPr="00D85509" w:rsidR="006C5FA7">
        <w:t>broadband</w:t>
      </w:r>
      <w:r w:rsidRPr="00D85509" w:rsidR="009113A7">
        <w:t xml:space="preserve"> options</w:t>
      </w:r>
      <w:r w:rsidRPr="00D85509" w:rsidR="006C5FA7">
        <w:t xml:space="preserve"> for those living </w:t>
      </w:r>
      <w:r w:rsidRPr="00D85509">
        <w:t>i</w:t>
      </w:r>
      <w:r w:rsidRPr="00D85509" w:rsidR="006C5FA7">
        <w:t xml:space="preserve">n Tribal </w:t>
      </w:r>
      <w:r w:rsidRPr="00D85509">
        <w:t>areas</w:t>
      </w:r>
      <w:r w:rsidRPr="00D85509" w:rsidR="006C5FA7">
        <w:t>.</w:t>
      </w:r>
      <w:r w:rsidRPr="00D85509">
        <w:t xml:space="preserve"> </w:t>
      </w:r>
    </w:p>
    <w:p w:rsidR="00914543" w:rsidP="005A648E" w14:paraId="37FA5E3F" w14:textId="77777777">
      <w:pPr>
        <w:spacing w:after="120"/>
        <w:ind w:firstLine="720"/>
      </w:pPr>
      <w:r>
        <w:rPr>
          <w:i/>
        </w:rPr>
        <w:t>Overall Deployment.</w:t>
      </w:r>
      <w:r>
        <w:t xml:space="preserve">  </w:t>
      </w:r>
      <w:r w:rsidRPr="00D91C91" w:rsidR="005A648E">
        <w:t xml:space="preserve">Figure </w:t>
      </w:r>
      <w:r w:rsidR="00083BC3">
        <w:t>2</w:t>
      </w:r>
      <w:r w:rsidR="00514F63">
        <w:t xml:space="preserve"> below</w:t>
      </w:r>
      <w:r w:rsidRPr="00D85509" w:rsidR="005A648E">
        <w:t xml:space="preserve"> underscores the divide between deployment of fixed broadband on Tribal and non-Tribal lands.  For example, over </w:t>
      </w:r>
      <w:r w:rsidR="005A648E">
        <w:t>56</w:t>
      </w:r>
      <w:r w:rsidRPr="00D85509" w:rsidR="005A648E">
        <w:t xml:space="preserve">% of non-Tribal housing units are covered by two or more wired providers of 25/3 Mbps service, while </w:t>
      </w:r>
      <w:r w:rsidR="005A648E">
        <w:t xml:space="preserve">approximately </w:t>
      </w:r>
      <w:r w:rsidR="00A162CF">
        <w:t>21</w:t>
      </w:r>
      <w:r w:rsidRPr="00D85509" w:rsidR="005A648E">
        <w:t xml:space="preserve">% of Tribal housing units </w:t>
      </w:r>
      <w:r w:rsidR="00A162CF">
        <w:t>are covered by two or more such providers</w:t>
      </w:r>
      <w:r w:rsidRPr="00D85509" w:rsidR="005A648E">
        <w:t>.</w:t>
      </w:r>
      <w:r>
        <w:rPr>
          <w:rStyle w:val="FootnoteReference"/>
        </w:rPr>
        <w:footnoteReference w:id="25"/>
      </w:r>
      <w:r w:rsidRPr="00D85509" w:rsidR="005A648E">
        <w:t xml:space="preserve"> </w:t>
      </w:r>
    </w:p>
    <w:p w:rsidR="005A648E" w:rsidRPr="00914543" w:rsidP="00914543" w14:paraId="5FDE72D2" w14:textId="4683A3A7">
      <w:pPr>
        <w:spacing w:after="120"/>
        <w:jc w:val="center"/>
        <w:rPr>
          <w:b/>
        </w:rPr>
      </w:pPr>
      <w:r w:rsidRPr="00914543">
        <w:rPr>
          <w:b/>
        </w:rPr>
        <w:t>Fig. 2</w:t>
      </w:r>
    </w:p>
    <w:tbl>
      <w:tblPr>
        <w:tblW w:w="10895" w:type="dxa"/>
        <w:jc w:val="center"/>
        <w:tblLook w:val="04A0"/>
      </w:tblPr>
      <w:tblGrid>
        <w:gridCol w:w="1121"/>
        <w:gridCol w:w="931"/>
        <w:gridCol w:w="815"/>
        <w:gridCol w:w="733"/>
        <w:gridCol w:w="779"/>
        <w:gridCol w:w="931"/>
        <w:gridCol w:w="815"/>
        <w:gridCol w:w="733"/>
        <w:gridCol w:w="779"/>
        <w:gridCol w:w="931"/>
        <w:gridCol w:w="815"/>
        <w:gridCol w:w="733"/>
        <w:gridCol w:w="779"/>
      </w:tblGrid>
      <w:tr w14:paraId="499C5A54" w14:textId="77777777" w:rsidTr="00914543">
        <w:tblPrEx>
          <w:tblW w:w="10895" w:type="dxa"/>
          <w:jc w:val="center"/>
          <w:tblLook w:val="04A0"/>
        </w:tblPrEx>
        <w:trPr>
          <w:trHeight w:val="233"/>
          <w:jc w:val="center"/>
        </w:trPr>
        <w:tc>
          <w:tcPr>
            <w:tcW w:w="10895" w:type="dxa"/>
            <w:gridSpan w:val="13"/>
            <w:tcBorders>
              <w:top w:val="single" w:sz="8" w:space="0" w:color="auto"/>
              <w:left w:val="single" w:sz="8" w:space="0" w:color="auto"/>
              <w:bottom w:val="single" w:sz="4" w:space="0" w:color="auto"/>
              <w:right w:val="single" w:sz="8" w:space="0" w:color="000000"/>
            </w:tcBorders>
            <w:shd w:val="clear" w:color="000000" w:fill="D9D9D9"/>
            <w:noWrap/>
            <w:vAlign w:val="bottom"/>
            <w:hideMark/>
          </w:tcPr>
          <w:p w:rsidR="005A648E" w:rsidRPr="00DE2067" w:rsidP="005D17A3" w14:paraId="1B73EEC9" w14:textId="77777777">
            <w:pPr>
              <w:jc w:val="center"/>
              <w:rPr>
                <w:b/>
                <w:bCs/>
              </w:rPr>
            </w:pPr>
            <w:r w:rsidRPr="00DE2067">
              <w:rPr>
                <w:b/>
                <w:bCs/>
              </w:rPr>
              <w:t>Deployment of 25/3 Mbps Fixed Service to Non-Tribal and Tribal Housing Units (HUs)</w:t>
            </w:r>
          </w:p>
        </w:tc>
      </w:tr>
      <w:tr w14:paraId="1CAC8A50" w14:textId="77777777" w:rsidTr="00914543">
        <w:tblPrEx>
          <w:tblW w:w="10895" w:type="dxa"/>
          <w:jc w:val="center"/>
          <w:tblLook w:val="04A0"/>
        </w:tblPrEx>
        <w:trPr>
          <w:trHeight w:val="233"/>
          <w:jc w:val="center"/>
        </w:trPr>
        <w:tc>
          <w:tcPr>
            <w:tcW w:w="1121" w:type="dxa"/>
            <w:tcBorders>
              <w:top w:val="nil"/>
              <w:left w:val="single" w:sz="8" w:space="0" w:color="auto"/>
              <w:bottom w:val="single" w:sz="4" w:space="0" w:color="auto"/>
              <w:right w:val="nil"/>
            </w:tcBorders>
            <w:shd w:val="clear" w:color="auto" w:fill="auto"/>
            <w:noWrap/>
            <w:vAlign w:val="bottom"/>
            <w:hideMark/>
          </w:tcPr>
          <w:p w:rsidR="005A648E" w:rsidRPr="00DE2067" w:rsidP="005D17A3" w14:paraId="0E422308" w14:textId="77777777">
            <w:r w:rsidRPr="00DE2067">
              <w:t> </w:t>
            </w:r>
          </w:p>
        </w:tc>
        <w:tc>
          <w:tcPr>
            <w:tcW w:w="325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A648E" w:rsidRPr="00DE2067" w:rsidP="005D17A3" w14:paraId="1A46AD92" w14:textId="77777777">
            <w:pPr>
              <w:jc w:val="center"/>
              <w:rPr>
                <w:b/>
                <w:bCs/>
              </w:rPr>
            </w:pPr>
            <w:r w:rsidRPr="00DE2067">
              <w:rPr>
                <w:b/>
                <w:bCs/>
              </w:rPr>
              <w:t>By Any Technology</w:t>
            </w:r>
          </w:p>
        </w:tc>
        <w:tc>
          <w:tcPr>
            <w:tcW w:w="3258" w:type="dxa"/>
            <w:gridSpan w:val="4"/>
            <w:tcBorders>
              <w:top w:val="single" w:sz="4" w:space="0" w:color="auto"/>
              <w:left w:val="nil"/>
              <w:bottom w:val="single" w:sz="4" w:space="0" w:color="auto"/>
              <w:right w:val="single" w:sz="4" w:space="0" w:color="000000"/>
            </w:tcBorders>
            <w:shd w:val="clear" w:color="auto" w:fill="auto"/>
            <w:noWrap/>
            <w:vAlign w:val="bottom"/>
            <w:hideMark/>
          </w:tcPr>
          <w:p w:rsidR="005A648E" w:rsidRPr="00DE2067" w:rsidP="005D17A3" w14:paraId="247D6E57" w14:textId="77777777">
            <w:pPr>
              <w:jc w:val="center"/>
              <w:rPr>
                <w:b/>
                <w:bCs/>
              </w:rPr>
            </w:pPr>
            <w:r w:rsidRPr="00DE2067">
              <w:rPr>
                <w:b/>
                <w:bCs/>
              </w:rPr>
              <w:t>By Any Terrestrial Technology</w:t>
            </w:r>
          </w:p>
        </w:tc>
        <w:tc>
          <w:tcPr>
            <w:tcW w:w="3258" w:type="dxa"/>
            <w:gridSpan w:val="4"/>
            <w:tcBorders>
              <w:top w:val="single" w:sz="4" w:space="0" w:color="auto"/>
              <w:left w:val="nil"/>
              <w:bottom w:val="single" w:sz="4" w:space="0" w:color="auto"/>
              <w:right w:val="single" w:sz="8" w:space="0" w:color="000000"/>
            </w:tcBorders>
            <w:shd w:val="clear" w:color="auto" w:fill="auto"/>
            <w:noWrap/>
            <w:vAlign w:val="bottom"/>
            <w:hideMark/>
          </w:tcPr>
          <w:p w:rsidR="005A648E" w:rsidRPr="00DE2067" w:rsidP="005D17A3" w14:paraId="7AFED133" w14:textId="77777777">
            <w:pPr>
              <w:jc w:val="center"/>
              <w:rPr>
                <w:b/>
                <w:bCs/>
              </w:rPr>
            </w:pPr>
            <w:r w:rsidRPr="00DE2067">
              <w:rPr>
                <w:b/>
                <w:bCs/>
              </w:rPr>
              <w:t>By Any Wired Technology</w:t>
            </w:r>
          </w:p>
        </w:tc>
      </w:tr>
      <w:tr w14:paraId="79778693" w14:textId="77777777" w:rsidTr="00914543">
        <w:tblPrEx>
          <w:tblW w:w="10895" w:type="dxa"/>
          <w:jc w:val="center"/>
          <w:tblLook w:val="04A0"/>
        </w:tblPrEx>
        <w:trPr>
          <w:trHeight w:val="532"/>
          <w:jc w:val="center"/>
        </w:trPr>
        <w:tc>
          <w:tcPr>
            <w:tcW w:w="1121" w:type="dxa"/>
            <w:tcBorders>
              <w:top w:val="single" w:sz="4" w:space="0" w:color="auto"/>
              <w:left w:val="single" w:sz="8" w:space="0" w:color="auto"/>
              <w:bottom w:val="single" w:sz="4" w:space="0" w:color="auto"/>
              <w:right w:val="nil"/>
            </w:tcBorders>
            <w:shd w:val="clear" w:color="auto" w:fill="auto"/>
            <w:vAlign w:val="bottom"/>
            <w:hideMark/>
          </w:tcPr>
          <w:p w:rsidR="005A648E" w:rsidRPr="00DE2067" w:rsidP="005D17A3" w14:paraId="2242F169" w14:textId="77777777">
            <w:pPr>
              <w:rPr>
                <w:b/>
                <w:bCs/>
              </w:rPr>
            </w:pPr>
            <w:r w:rsidRPr="00DE2067">
              <w:rPr>
                <w:b/>
                <w:bCs/>
              </w:rPr>
              <w:t xml:space="preserve"># </w:t>
            </w:r>
            <w:r w:rsidRPr="00DE2067">
              <w:rPr>
                <w:b/>
                <w:bCs/>
              </w:rPr>
              <w:br/>
              <w:t>providers</w:t>
            </w:r>
          </w:p>
        </w:tc>
        <w:tc>
          <w:tcPr>
            <w:tcW w:w="931" w:type="dxa"/>
            <w:tcBorders>
              <w:top w:val="single" w:sz="4" w:space="0" w:color="auto"/>
              <w:left w:val="single" w:sz="4" w:space="0" w:color="auto"/>
              <w:bottom w:val="single" w:sz="4" w:space="0" w:color="auto"/>
              <w:right w:val="nil"/>
            </w:tcBorders>
            <w:shd w:val="clear" w:color="auto" w:fill="auto"/>
            <w:vAlign w:val="bottom"/>
            <w:hideMark/>
          </w:tcPr>
          <w:p w:rsidR="005A648E" w:rsidRPr="00DE2067" w:rsidP="005D17A3" w14:paraId="7D341485" w14:textId="77777777">
            <w:pPr>
              <w:jc w:val="center"/>
              <w:rPr>
                <w:b/>
                <w:bCs/>
              </w:rPr>
            </w:pPr>
            <w:r w:rsidRPr="00DE2067">
              <w:rPr>
                <w:b/>
                <w:bCs/>
              </w:rPr>
              <w:t>Non-tribal HU</w:t>
            </w:r>
            <w:r w:rsidRPr="00DE2067">
              <w:rPr>
                <w:b/>
                <w:bCs/>
              </w:rPr>
              <w:br/>
              <w:t>(000s)</w:t>
            </w:r>
          </w:p>
        </w:tc>
        <w:tc>
          <w:tcPr>
            <w:tcW w:w="815" w:type="dxa"/>
            <w:tcBorders>
              <w:top w:val="single" w:sz="4" w:space="0" w:color="auto"/>
              <w:left w:val="nil"/>
              <w:bottom w:val="single" w:sz="4" w:space="0" w:color="auto"/>
              <w:right w:val="nil"/>
            </w:tcBorders>
            <w:shd w:val="clear" w:color="auto" w:fill="auto"/>
            <w:vAlign w:val="bottom"/>
            <w:hideMark/>
          </w:tcPr>
          <w:p w:rsidR="005A648E" w:rsidRPr="00DE2067" w:rsidP="005D17A3" w14:paraId="5204282E" w14:textId="77777777">
            <w:pPr>
              <w:jc w:val="center"/>
              <w:rPr>
                <w:b/>
                <w:bCs/>
              </w:rPr>
            </w:pPr>
            <w:r w:rsidRPr="00DE2067">
              <w:rPr>
                <w:b/>
                <w:bCs/>
              </w:rPr>
              <w:t>Tribal HU</w:t>
            </w:r>
            <w:r w:rsidRPr="00DE2067">
              <w:rPr>
                <w:b/>
                <w:bCs/>
              </w:rPr>
              <w:br/>
              <w:t>(000s)</w:t>
            </w:r>
          </w:p>
        </w:tc>
        <w:tc>
          <w:tcPr>
            <w:tcW w:w="733" w:type="dxa"/>
            <w:tcBorders>
              <w:top w:val="single" w:sz="4" w:space="0" w:color="auto"/>
              <w:left w:val="nil"/>
              <w:bottom w:val="single" w:sz="4" w:space="0" w:color="auto"/>
              <w:right w:val="nil"/>
            </w:tcBorders>
            <w:shd w:val="clear" w:color="auto" w:fill="auto"/>
            <w:vAlign w:val="bottom"/>
            <w:hideMark/>
          </w:tcPr>
          <w:p w:rsidR="005A648E" w:rsidRPr="00DE2067" w:rsidP="005D17A3" w14:paraId="04863BEA" w14:textId="77777777">
            <w:pPr>
              <w:jc w:val="center"/>
              <w:rPr>
                <w:b/>
                <w:bCs/>
                <w:i/>
                <w:iCs/>
              </w:rPr>
            </w:pPr>
            <w:r w:rsidRPr="00DE2067">
              <w:rPr>
                <w:b/>
                <w:bCs/>
                <w:i/>
                <w:iCs/>
              </w:rPr>
              <w:t>Non-tribal</w:t>
            </w:r>
          </w:p>
        </w:tc>
        <w:tc>
          <w:tcPr>
            <w:tcW w:w="779" w:type="dxa"/>
            <w:tcBorders>
              <w:top w:val="single" w:sz="4" w:space="0" w:color="auto"/>
              <w:left w:val="nil"/>
              <w:bottom w:val="single" w:sz="4" w:space="0" w:color="auto"/>
              <w:right w:val="single" w:sz="4" w:space="0" w:color="auto"/>
            </w:tcBorders>
            <w:shd w:val="clear" w:color="auto" w:fill="auto"/>
            <w:vAlign w:val="bottom"/>
            <w:hideMark/>
          </w:tcPr>
          <w:p w:rsidR="005A648E" w:rsidRPr="00DE2067" w:rsidP="005D17A3" w14:paraId="2CB53343" w14:textId="77777777">
            <w:pPr>
              <w:jc w:val="center"/>
              <w:rPr>
                <w:b/>
                <w:bCs/>
                <w:i/>
                <w:iCs/>
              </w:rPr>
            </w:pPr>
            <w:r w:rsidRPr="00DE2067">
              <w:rPr>
                <w:b/>
                <w:bCs/>
                <w:i/>
                <w:iCs/>
              </w:rPr>
              <w:t>Tribal</w:t>
            </w:r>
          </w:p>
        </w:tc>
        <w:tc>
          <w:tcPr>
            <w:tcW w:w="931" w:type="dxa"/>
            <w:tcBorders>
              <w:top w:val="single" w:sz="4" w:space="0" w:color="auto"/>
              <w:left w:val="nil"/>
              <w:bottom w:val="single" w:sz="4" w:space="0" w:color="auto"/>
              <w:right w:val="nil"/>
            </w:tcBorders>
            <w:shd w:val="clear" w:color="auto" w:fill="auto"/>
            <w:vAlign w:val="bottom"/>
            <w:hideMark/>
          </w:tcPr>
          <w:p w:rsidR="005A648E" w:rsidRPr="00DE2067" w:rsidP="005D17A3" w14:paraId="3E7C4E1B" w14:textId="77777777">
            <w:pPr>
              <w:jc w:val="center"/>
              <w:rPr>
                <w:b/>
                <w:bCs/>
              </w:rPr>
            </w:pPr>
            <w:r w:rsidRPr="00DE2067">
              <w:rPr>
                <w:b/>
                <w:bCs/>
              </w:rPr>
              <w:t>Non-tribal HU</w:t>
            </w:r>
            <w:r w:rsidRPr="00DE2067">
              <w:rPr>
                <w:b/>
                <w:bCs/>
              </w:rPr>
              <w:br/>
              <w:t>(000s)</w:t>
            </w:r>
          </w:p>
        </w:tc>
        <w:tc>
          <w:tcPr>
            <w:tcW w:w="815" w:type="dxa"/>
            <w:tcBorders>
              <w:top w:val="single" w:sz="4" w:space="0" w:color="auto"/>
              <w:left w:val="nil"/>
              <w:bottom w:val="single" w:sz="4" w:space="0" w:color="auto"/>
              <w:right w:val="nil"/>
            </w:tcBorders>
            <w:shd w:val="clear" w:color="auto" w:fill="auto"/>
            <w:vAlign w:val="bottom"/>
            <w:hideMark/>
          </w:tcPr>
          <w:p w:rsidR="005A648E" w:rsidRPr="00DE2067" w:rsidP="005D17A3" w14:paraId="41CD4790" w14:textId="77777777">
            <w:pPr>
              <w:jc w:val="center"/>
              <w:rPr>
                <w:b/>
                <w:bCs/>
              </w:rPr>
            </w:pPr>
            <w:r w:rsidRPr="00DE2067">
              <w:rPr>
                <w:b/>
                <w:bCs/>
              </w:rPr>
              <w:t>Tribal HU</w:t>
            </w:r>
            <w:r w:rsidRPr="00DE2067">
              <w:rPr>
                <w:b/>
                <w:bCs/>
              </w:rPr>
              <w:br/>
              <w:t>(000s)</w:t>
            </w:r>
          </w:p>
        </w:tc>
        <w:tc>
          <w:tcPr>
            <w:tcW w:w="733" w:type="dxa"/>
            <w:tcBorders>
              <w:top w:val="single" w:sz="4" w:space="0" w:color="auto"/>
              <w:left w:val="nil"/>
              <w:bottom w:val="single" w:sz="4" w:space="0" w:color="auto"/>
              <w:right w:val="nil"/>
            </w:tcBorders>
            <w:shd w:val="clear" w:color="auto" w:fill="auto"/>
            <w:vAlign w:val="bottom"/>
            <w:hideMark/>
          </w:tcPr>
          <w:p w:rsidR="005A648E" w:rsidRPr="00DE2067" w:rsidP="005D17A3" w14:paraId="7B3F2C69" w14:textId="77777777">
            <w:pPr>
              <w:jc w:val="center"/>
              <w:rPr>
                <w:b/>
                <w:bCs/>
                <w:i/>
                <w:iCs/>
              </w:rPr>
            </w:pPr>
            <w:r w:rsidRPr="00DE2067">
              <w:rPr>
                <w:b/>
                <w:bCs/>
                <w:i/>
                <w:iCs/>
              </w:rPr>
              <w:t>Non-tribal</w:t>
            </w:r>
          </w:p>
        </w:tc>
        <w:tc>
          <w:tcPr>
            <w:tcW w:w="779" w:type="dxa"/>
            <w:tcBorders>
              <w:top w:val="single" w:sz="4" w:space="0" w:color="auto"/>
              <w:left w:val="nil"/>
              <w:bottom w:val="single" w:sz="4" w:space="0" w:color="auto"/>
              <w:right w:val="single" w:sz="4" w:space="0" w:color="auto"/>
            </w:tcBorders>
            <w:shd w:val="clear" w:color="auto" w:fill="auto"/>
            <w:vAlign w:val="bottom"/>
            <w:hideMark/>
          </w:tcPr>
          <w:p w:rsidR="005A648E" w:rsidRPr="00DE2067" w:rsidP="005D17A3" w14:paraId="4197B4D3" w14:textId="77777777">
            <w:pPr>
              <w:jc w:val="center"/>
              <w:rPr>
                <w:b/>
                <w:bCs/>
                <w:i/>
                <w:iCs/>
              </w:rPr>
            </w:pPr>
            <w:r w:rsidRPr="00DE2067">
              <w:rPr>
                <w:b/>
                <w:bCs/>
                <w:i/>
                <w:iCs/>
              </w:rPr>
              <w:t>Tribal</w:t>
            </w:r>
          </w:p>
        </w:tc>
        <w:tc>
          <w:tcPr>
            <w:tcW w:w="931" w:type="dxa"/>
            <w:tcBorders>
              <w:top w:val="single" w:sz="4" w:space="0" w:color="auto"/>
              <w:left w:val="nil"/>
              <w:bottom w:val="single" w:sz="4" w:space="0" w:color="auto"/>
              <w:right w:val="nil"/>
            </w:tcBorders>
            <w:shd w:val="clear" w:color="auto" w:fill="auto"/>
            <w:vAlign w:val="bottom"/>
            <w:hideMark/>
          </w:tcPr>
          <w:p w:rsidR="005A648E" w:rsidRPr="00DE2067" w:rsidP="005D17A3" w14:paraId="7400E614" w14:textId="77777777">
            <w:pPr>
              <w:jc w:val="center"/>
              <w:rPr>
                <w:b/>
                <w:bCs/>
              </w:rPr>
            </w:pPr>
            <w:r w:rsidRPr="00DE2067">
              <w:rPr>
                <w:b/>
                <w:bCs/>
              </w:rPr>
              <w:t>Non-tribal HU</w:t>
            </w:r>
            <w:r w:rsidRPr="00DE2067">
              <w:rPr>
                <w:b/>
                <w:bCs/>
              </w:rPr>
              <w:br/>
              <w:t>(000s)</w:t>
            </w:r>
          </w:p>
        </w:tc>
        <w:tc>
          <w:tcPr>
            <w:tcW w:w="815" w:type="dxa"/>
            <w:tcBorders>
              <w:top w:val="single" w:sz="4" w:space="0" w:color="auto"/>
              <w:left w:val="nil"/>
              <w:bottom w:val="single" w:sz="4" w:space="0" w:color="auto"/>
              <w:right w:val="nil"/>
            </w:tcBorders>
            <w:shd w:val="clear" w:color="auto" w:fill="auto"/>
            <w:vAlign w:val="bottom"/>
            <w:hideMark/>
          </w:tcPr>
          <w:p w:rsidR="005A648E" w:rsidRPr="00DE2067" w:rsidP="005D17A3" w14:paraId="61878EE4" w14:textId="77777777">
            <w:pPr>
              <w:jc w:val="center"/>
              <w:rPr>
                <w:b/>
                <w:bCs/>
              </w:rPr>
            </w:pPr>
            <w:r w:rsidRPr="00DE2067">
              <w:rPr>
                <w:b/>
                <w:bCs/>
              </w:rPr>
              <w:t>Tribal HU</w:t>
            </w:r>
            <w:r w:rsidRPr="00DE2067">
              <w:rPr>
                <w:b/>
                <w:bCs/>
              </w:rPr>
              <w:br/>
              <w:t>(000s)</w:t>
            </w:r>
          </w:p>
        </w:tc>
        <w:tc>
          <w:tcPr>
            <w:tcW w:w="733" w:type="dxa"/>
            <w:tcBorders>
              <w:top w:val="single" w:sz="4" w:space="0" w:color="auto"/>
              <w:left w:val="nil"/>
              <w:bottom w:val="single" w:sz="4" w:space="0" w:color="auto"/>
              <w:right w:val="nil"/>
            </w:tcBorders>
            <w:shd w:val="clear" w:color="auto" w:fill="auto"/>
            <w:vAlign w:val="bottom"/>
            <w:hideMark/>
          </w:tcPr>
          <w:p w:rsidR="005A648E" w:rsidRPr="00DE2067" w:rsidP="005D17A3" w14:paraId="2881A3F6" w14:textId="77777777">
            <w:pPr>
              <w:jc w:val="center"/>
              <w:rPr>
                <w:b/>
                <w:bCs/>
                <w:i/>
                <w:iCs/>
              </w:rPr>
            </w:pPr>
            <w:r w:rsidRPr="00DE2067">
              <w:rPr>
                <w:b/>
                <w:bCs/>
                <w:i/>
                <w:iCs/>
              </w:rPr>
              <w:t>Non-tribal</w:t>
            </w:r>
          </w:p>
        </w:tc>
        <w:tc>
          <w:tcPr>
            <w:tcW w:w="779" w:type="dxa"/>
            <w:tcBorders>
              <w:top w:val="single" w:sz="4" w:space="0" w:color="auto"/>
              <w:left w:val="nil"/>
              <w:bottom w:val="single" w:sz="4" w:space="0" w:color="auto"/>
              <w:right w:val="single" w:sz="8" w:space="0" w:color="auto"/>
            </w:tcBorders>
            <w:shd w:val="clear" w:color="auto" w:fill="auto"/>
            <w:vAlign w:val="bottom"/>
            <w:hideMark/>
          </w:tcPr>
          <w:p w:rsidR="005A648E" w:rsidRPr="00DE2067" w:rsidP="005D17A3" w14:paraId="107BD3C2" w14:textId="77777777">
            <w:pPr>
              <w:jc w:val="center"/>
              <w:rPr>
                <w:b/>
                <w:bCs/>
                <w:i/>
                <w:iCs/>
              </w:rPr>
            </w:pPr>
            <w:r w:rsidRPr="00DE2067">
              <w:rPr>
                <w:b/>
                <w:bCs/>
                <w:i/>
                <w:iCs/>
              </w:rPr>
              <w:t>Tribal</w:t>
            </w:r>
          </w:p>
        </w:tc>
      </w:tr>
      <w:tr w14:paraId="3B84B2D3" w14:textId="77777777" w:rsidTr="00914543">
        <w:tblPrEx>
          <w:tblW w:w="10895" w:type="dxa"/>
          <w:jc w:val="center"/>
          <w:tblLook w:val="04A0"/>
        </w:tblPrEx>
        <w:trPr>
          <w:trHeight w:val="233"/>
          <w:jc w:val="center"/>
        </w:trPr>
        <w:tc>
          <w:tcPr>
            <w:tcW w:w="1121" w:type="dxa"/>
            <w:tcBorders>
              <w:top w:val="single" w:sz="4" w:space="0" w:color="auto"/>
              <w:left w:val="single" w:sz="8" w:space="0" w:color="auto"/>
              <w:bottom w:val="nil"/>
              <w:right w:val="nil"/>
            </w:tcBorders>
            <w:shd w:val="clear" w:color="auto" w:fill="auto"/>
            <w:noWrap/>
            <w:vAlign w:val="bottom"/>
            <w:hideMark/>
          </w:tcPr>
          <w:p w:rsidR="005A648E" w:rsidRPr="00DE2067" w:rsidP="005D17A3" w14:paraId="7972B214" w14:textId="77777777">
            <w:pPr>
              <w:jc w:val="right"/>
            </w:pPr>
            <w:r w:rsidRPr="00DE2067">
              <w:t>0</w:t>
            </w:r>
          </w:p>
        </w:tc>
        <w:tc>
          <w:tcPr>
            <w:tcW w:w="931" w:type="dxa"/>
            <w:tcBorders>
              <w:top w:val="single" w:sz="4" w:space="0" w:color="auto"/>
              <w:left w:val="single" w:sz="4" w:space="0" w:color="auto"/>
              <w:bottom w:val="nil"/>
              <w:right w:val="nil"/>
            </w:tcBorders>
            <w:shd w:val="clear" w:color="auto" w:fill="auto"/>
            <w:noWrap/>
            <w:vAlign w:val="bottom"/>
            <w:hideMark/>
          </w:tcPr>
          <w:p w:rsidR="005A648E" w:rsidRPr="00DE2067" w:rsidP="005D17A3" w14:paraId="4026B30F" w14:textId="77777777">
            <w:pPr>
              <w:jc w:val="center"/>
            </w:pPr>
            <w:r w:rsidRPr="00DE2067">
              <w:t>98</w:t>
            </w:r>
          </w:p>
        </w:tc>
        <w:tc>
          <w:tcPr>
            <w:tcW w:w="815" w:type="dxa"/>
            <w:tcBorders>
              <w:top w:val="single" w:sz="4" w:space="0" w:color="auto"/>
              <w:left w:val="nil"/>
              <w:bottom w:val="nil"/>
              <w:right w:val="nil"/>
            </w:tcBorders>
            <w:shd w:val="clear" w:color="auto" w:fill="auto"/>
            <w:noWrap/>
            <w:vAlign w:val="bottom"/>
            <w:hideMark/>
          </w:tcPr>
          <w:p w:rsidR="005A648E" w:rsidRPr="00DE2067" w:rsidP="005D17A3" w14:paraId="27B021CA" w14:textId="77777777">
            <w:pPr>
              <w:jc w:val="center"/>
            </w:pPr>
            <w:r w:rsidRPr="00DE2067">
              <w:t>28</w:t>
            </w:r>
          </w:p>
        </w:tc>
        <w:tc>
          <w:tcPr>
            <w:tcW w:w="733" w:type="dxa"/>
            <w:tcBorders>
              <w:top w:val="single" w:sz="4" w:space="0" w:color="auto"/>
              <w:left w:val="nil"/>
              <w:bottom w:val="nil"/>
              <w:right w:val="nil"/>
            </w:tcBorders>
            <w:shd w:val="clear" w:color="auto" w:fill="auto"/>
            <w:noWrap/>
            <w:vAlign w:val="bottom"/>
            <w:hideMark/>
          </w:tcPr>
          <w:p w:rsidR="005A648E" w:rsidRPr="00DE2067" w:rsidP="005D17A3" w14:paraId="2B0D05F8" w14:textId="77777777">
            <w:pPr>
              <w:jc w:val="center"/>
            </w:pPr>
            <w:r w:rsidRPr="00DE2067">
              <w:t>0%</w:t>
            </w:r>
          </w:p>
        </w:tc>
        <w:tc>
          <w:tcPr>
            <w:tcW w:w="779" w:type="dxa"/>
            <w:tcBorders>
              <w:top w:val="single" w:sz="4" w:space="0" w:color="auto"/>
              <w:left w:val="nil"/>
              <w:bottom w:val="nil"/>
              <w:right w:val="single" w:sz="4" w:space="0" w:color="auto"/>
            </w:tcBorders>
            <w:shd w:val="clear" w:color="auto" w:fill="auto"/>
            <w:noWrap/>
            <w:vAlign w:val="bottom"/>
            <w:hideMark/>
          </w:tcPr>
          <w:p w:rsidR="005A648E" w:rsidRPr="00DE2067" w:rsidP="005D17A3" w14:paraId="2DAACECA" w14:textId="77777777">
            <w:pPr>
              <w:jc w:val="center"/>
            </w:pPr>
            <w:r w:rsidRPr="00DE2067">
              <w:t>2%</w:t>
            </w:r>
          </w:p>
        </w:tc>
        <w:tc>
          <w:tcPr>
            <w:tcW w:w="931" w:type="dxa"/>
            <w:tcBorders>
              <w:top w:val="single" w:sz="4" w:space="0" w:color="auto"/>
              <w:left w:val="nil"/>
              <w:bottom w:val="nil"/>
              <w:right w:val="nil"/>
            </w:tcBorders>
            <w:shd w:val="clear" w:color="auto" w:fill="auto"/>
            <w:noWrap/>
            <w:vAlign w:val="bottom"/>
            <w:hideMark/>
          </w:tcPr>
          <w:p w:rsidR="005A648E" w:rsidRPr="00DE2067" w:rsidP="005D17A3" w14:paraId="0CCBF11B" w14:textId="77777777">
            <w:pPr>
              <w:jc w:val="center"/>
            </w:pPr>
            <w:r w:rsidRPr="00DE2067">
              <w:t>9,418</w:t>
            </w:r>
          </w:p>
        </w:tc>
        <w:tc>
          <w:tcPr>
            <w:tcW w:w="815" w:type="dxa"/>
            <w:tcBorders>
              <w:top w:val="single" w:sz="4" w:space="0" w:color="auto"/>
              <w:left w:val="nil"/>
              <w:bottom w:val="nil"/>
              <w:right w:val="nil"/>
            </w:tcBorders>
            <w:shd w:val="clear" w:color="auto" w:fill="auto"/>
            <w:noWrap/>
            <w:vAlign w:val="bottom"/>
            <w:hideMark/>
          </w:tcPr>
          <w:p w:rsidR="005A648E" w:rsidRPr="00DE2067" w:rsidP="005D17A3" w14:paraId="06ED447F" w14:textId="77777777">
            <w:pPr>
              <w:jc w:val="center"/>
            </w:pPr>
            <w:r w:rsidRPr="00DE2067">
              <w:t>550</w:t>
            </w:r>
          </w:p>
        </w:tc>
        <w:tc>
          <w:tcPr>
            <w:tcW w:w="733" w:type="dxa"/>
            <w:tcBorders>
              <w:top w:val="single" w:sz="4" w:space="0" w:color="auto"/>
              <w:left w:val="nil"/>
              <w:bottom w:val="nil"/>
              <w:right w:val="nil"/>
            </w:tcBorders>
            <w:shd w:val="clear" w:color="auto" w:fill="auto"/>
            <w:noWrap/>
            <w:vAlign w:val="bottom"/>
            <w:hideMark/>
          </w:tcPr>
          <w:p w:rsidR="005A648E" w:rsidRPr="00DE2067" w:rsidP="005D17A3" w14:paraId="57696BA4" w14:textId="77777777">
            <w:pPr>
              <w:jc w:val="center"/>
            </w:pPr>
            <w:r w:rsidRPr="00DE2067">
              <w:t>7%</w:t>
            </w:r>
          </w:p>
        </w:tc>
        <w:tc>
          <w:tcPr>
            <w:tcW w:w="779" w:type="dxa"/>
            <w:tcBorders>
              <w:top w:val="single" w:sz="4" w:space="0" w:color="auto"/>
              <w:left w:val="nil"/>
              <w:bottom w:val="nil"/>
              <w:right w:val="single" w:sz="4" w:space="0" w:color="auto"/>
            </w:tcBorders>
            <w:shd w:val="clear" w:color="auto" w:fill="auto"/>
            <w:noWrap/>
            <w:vAlign w:val="bottom"/>
            <w:hideMark/>
          </w:tcPr>
          <w:p w:rsidR="005A648E" w:rsidRPr="00DE2067" w:rsidP="005D17A3" w14:paraId="02535291" w14:textId="77777777">
            <w:pPr>
              <w:jc w:val="center"/>
            </w:pPr>
            <w:r w:rsidRPr="00DE2067">
              <w:t>31%</w:t>
            </w:r>
          </w:p>
        </w:tc>
        <w:tc>
          <w:tcPr>
            <w:tcW w:w="931" w:type="dxa"/>
            <w:tcBorders>
              <w:top w:val="single" w:sz="4" w:space="0" w:color="auto"/>
              <w:left w:val="nil"/>
              <w:bottom w:val="nil"/>
              <w:right w:val="nil"/>
            </w:tcBorders>
            <w:shd w:val="clear" w:color="auto" w:fill="auto"/>
            <w:noWrap/>
            <w:vAlign w:val="bottom"/>
            <w:hideMark/>
          </w:tcPr>
          <w:p w:rsidR="005A648E" w:rsidRPr="00DE2067" w:rsidP="005D17A3" w14:paraId="51932BF0" w14:textId="77777777">
            <w:pPr>
              <w:jc w:val="center"/>
            </w:pPr>
            <w:r w:rsidRPr="00DE2067">
              <w:t>11,734</w:t>
            </w:r>
          </w:p>
        </w:tc>
        <w:tc>
          <w:tcPr>
            <w:tcW w:w="815" w:type="dxa"/>
            <w:tcBorders>
              <w:top w:val="single" w:sz="4" w:space="0" w:color="auto"/>
              <w:left w:val="nil"/>
              <w:bottom w:val="nil"/>
              <w:right w:val="nil"/>
            </w:tcBorders>
            <w:shd w:val="clear" w:color="auto" w:fill="auto"/>
            <w:noWrap/>
            <w:vAlign w:val="bottom"/>
            <w:hideMark/>
          </w:tcPr>
          <w:p w:rsidR="005A648E" w:rsidRPr="00DE2067" w:rsidP="005D17A3" w14:paraId="160976ED" w14:textId="77777777">
            <w:pPr>
              <w:jc w:val="center"/>
            </w:pPr>
            <w:r w:rsidRPr="00DE2067">
              <w:t>628</w:t>
            </w:r>
          </w:p>
        </w:tc>
        <w:tc>
          <w:tcPr>
            <w:tcW w:w="733" w:type="dxa"/>
            <w:tcBorders>
              <w:top w:val="single" w:sz="4" w:space="0" w:color="auto"/>
              <w:left w:val="nil"/>
              <w:bottom w:val="nil"/>
              <w:right w:val="nil"/>
            </w:tcBorders>
            <w:shd w:val="clear" w:color="auto" w:fill="auto"/>
            <w:noWrap/>
            <w:vAlign w:val="bottom"/>
            <w:hideMark/>
          </w:tcPr>
          <w:p w:rsidR="005A648E" w:rsidRPr="00DE2067" w:rsidP="005D17A3" w14:paraId="04241953" w14:textId="77777777">
            <w:pPr>
              <w:jc w:val="center"/>
            </w:pPr>
            <w:r w:rsidRPr="00DE2067">
              <w:t>8%</w:t>
            </w:r>
          </w:p>
        </w:tc>
        <w:tc>
          <w:tcPr>
            <w:tcW w:w="779" w:type="dxa"/>
            <w:tcBorders>
              <w:top w:val="single" w:sz="4" w:space="0" w:color="auto"/>
              <w:left w:val="nil"/>
              <w:bottom w:val="nil"/>
              <w:right w:val="single" w:sz="8" w:space="0" w:color="auto"/>
            </w:tcBorders>
            <w:shd w:val="clear" w:color="auto" w:fill="auto"/>
            <w:noWrap/>
            <w:vAlign w:val="bottom"/>
            <w:hideMark/>
          </w:tcPr>
          <w:p w:rsidR="005A648E" w:rsidRPr="00DE2067" w:rsidP="005D17A3" w14:paraId="77EC339B" w14:textId="77777777">
            <w:pPr>
              <w:jc w:val="center"/>
            </w:pPr>
            <w:r w:rsidRPr="00DE2067">
              <w:t>36%</w:t>
            </w:r>
          </w:p>
        </w:tc>
      </w:tr>
      <w:tr w14:paraId="6CBEC7C5" w14:textId="77777777" w:rsidTr="00914543">
        <w:tblPrEx>
          <w:tblW w:w="10895" w:type="dxa"/>
          <w:jc w:val="center"/>
          <w:tblLook w:val="04A0"/>
        </w:tblPrEx>
        <w:trPr>
          <w:trHeight w:val="233"/>
          <w:jc w:val="center"/>
        </w:trPr>
        <w:tc>
          <w:tcPr>
            <w:tcW w:w="1121" w:type="dxa"/>
            <w:tcBorders>
              <w:top w:val="nil"/>
              <w:left w:val="single" w:sz="8" w:space="0" w:color="auto"/>
              <w:bottom w:val="nil"/>
              <w:right w:val="nil"/>
            </w:tcBorders>
            <w:shd w:val="clear" w:color="auto" w:fill="auto"/>
            <w:noWrap/>
            <w:vAlign w:val="bottom"/>
            <w:hideMark/>
          </w:tcPr>
          <w:p w:rsidR="005A648E" w:rsidRPr="00DE2067" w:rsidP="005D17A3" w14:paraId="6CCD29AF" w14:textId="77777777">
            <w:pPr>
              <w:jc w:val="right"/>
            </w:pPr>
            <w:r w:rsidRPr="00DE2067">
              <w:t>1</w:t>
            </w:r>
          </w:p>
        </w:tc>
        <w:tc>
          <w:tcPr>
            <w:tcW w:w="931" w:type="dxa"/>
            <w:tcBorders>
              <w:top w:val="nil"/>
              <w:left w:val="single" w:sz="4" w:space="0" w:color="auto"/>
              <w:bottom w:val="nil"/>
              <w:right w:val="nil"/>
            </w:tcBorders>
            <w:shd w:val="clear" w:color="auto" w:fill="auto"/>
            <w:noWrap/>
            <w:vAlign w:val="bottom"/>
            <w:hideMark/>
          </w:tcPr>
          <w:p w:rsidR="005A648E" w:rsidRPr="00DE2067" w:rsidP="005D17A3" w14:paraId="15C50108" w14:textId="77777777">
            <w:pPr>
              <w:jc w:val="center"/>
            </w:pPr>
            <w:r w:rsidRPr="00DE2067">
              <w:t>1,615</w:t>
            </w:r>
          </w:p>
        </w:tc>
        <w:tc>
          <w:tcPr>
            <w:tcW w:w="815" w:type="dxa"/>
            <w:tcBorders>
              <w:top w:val="nil"/>
              <w:left w:val="nil"/>
              <w:bottom w:val="nil"/>
              <w:right w:val="nil"/>
            </w:tcBorders>
            <w:shd w:val="clear" w:color="auto" w:fill="auto"/>
            <w:noWrap/>
            <w:vAlign w:val="bottom"/>
            <w:hideMark/>
          </w:tcPr>
          <w:p w:rsidR="005A648E" w:rsidRPr="00DE2067" w:rsidP="005D17A3" w14:paraId="41C55D75" w14:textId="77777777">
            <w:pPr>
              <w:jc w:val="center"/>
            </w:pPr>
            <w:r w:rsidRPr="00DE2067">
              <w:t>195</w:t>
            </w:r>
          </w:p>
        </w:tc>
        <w:tc>
          <w:tcPr>
            <w:tcW w:w="733" w:type="dxa"/>
            <w:tcBorders>
              <w:top w:val="nil"/>
              <w:left w:val="nil"/>
              <w:bottom w:val="nil"/>
              <w:right w:val="nil"/>
            </w:tcBorders>
            <w:shd w:val="clear" w:color="auto" w:fill="auto"/>
            <w:noWrap/>
            <w:vAlign w:val="bottom"/>
            <w:hideMark/>
          </w:tcPr>
          <w:p w:rsidR="005A648E" w:rsidRPr="00DE2067" w:rsidP="005D17A3" w14:paraId="4B9F2B45" w14:textId="77777777">
            <w:pPr>
              <w:jc w:val="center"/>
            </w:pPr>
            <w:r w:rsidRPr="00DE2067">
              <w:t>1%</w:t>
            </w:r>
          </w:p>
        </w:tc>
        <w:tc>
          <w:tcPr>
            <w:tcW w:w="779" w:type="dxa"/>
            <w:tcBorders>
              <w:top w:val="nil"/>
              <w:left w:val="nil"/>
              <w:bottom w:val="nil"/>
              <w:right w:val="single" w:sz="4" w:space="0" w:color="auto"/>
            </w:tcBorders>
            <w:shd w:val="clear" w:color="auto" w:fill="auto"/>
            <w:noWrap/>
            <w:vAlign w:val="bottom"/>
            <w:hideMark/>
          </w:tcPr>
          <w:p w:rsidR="005A648E" w:rsidRPr="00DE2067" w:rsidP="005D17A3" w14:paraId="344BC0C5" w14:textId="77777777">
            <w:pPr>
              <w:jc w:val="center"/>
            </w:pPr>
            <w:r w:rsidRPr="00DE2067">
              <w:t>11%</w:t>
            </w:r>
          </w:p>
        </w:tc>
        <w:tc>
          <w:tcPr>
            <w:tcW w:w="931" w:type="dxa"/>
            <w:tcBorders>
              <w:top w:val="nil"/>
              <w:left w:val="nil"/>
              <w:bottom w:val="nil"/>
              <w:right w:val="nil"/>
            </w:tcBorders>
            <w:shd w:val="clear" w:color="auto" w:fill="auto"/>
            <w:noWrap/>
            <w:vAlign w:val="bottom"/>
            <w:hideMark/>
          </w:tcPr>
          <w:p w:rsidR="005A648E" w:rsidRPr="00DE2067" w:rsidP="005D17A3" w14:paraId="592F2313" w14:textId="77777777">
            <w:pPr>
              <w:jc w:val="center"/>
            </w:pPr>
            <w:r w:rsidRPr="00DE2067">
              <w:t>42,023</w:t>
            </w:r>
          </w:p>
        </w:tc>
        <w:tc>
          <w:tcPr>
            <w:tcW w:w="815" w:type="dxa"/>
            <w:tcBorders>
              <w:top w:val="nil"/>
              <w:left w:val="nil"/>
              <w:bottom w:val="nil"/>
              <w:right w:val="nil"/>
            </w:tcBorders>
            <w:shd w:val="clear" w:color="auto" w:fill="auto"/>
            <w:noWrap/>
            <w:vAlign w:val="bottom"/>
            <w:hideMark/>
          </w:tcPr>
          <w:p w:rsidR="005A648E" w:rsidRPr="00DE2067" w:rsidP="005D17A3" w14:paraId="0061841F" w14:textId="77777777">
            <w:pPr>
              <w:jc w:val="center"/>
            </w:pPr>
            <w:r w:rsidRPr="00DE2067">
              <w:t>644</w:t>
            </w:r>
          </w:p>
        </w:tc>
        <w:tc>
          <w:tcPr>
            <w:tcW w:w="733" w:type="dxa"/>
            <w:tcBorders>
              <w:top w:val="nil"/>
              <w:left w:val="nil"/>
              <w:bottom w:val="nil"/>
              <w:right w:val="nil"/>
            </w:tcBorders>
            <w:shd w:val="clear" w:color="auto" w:fill="auto"/>
            <w:noWrap/>
            <w:vAlign w:val="bottom"/>
            <w:hideMark/>
          </w:tcPr>
          <w:p w:rsidR="005A648E" w:rsidRPr="00DE2067" w:rsidP="005D17A3" w14:paraId="3816422C" w14:textId="77777777">
            <w:pPr>
              <w:jc w:val="center"/>
            </w:pPr>
            <w:r w:rsidRPr="00DE2067">
              <w:t>30%</w:t>
            </w:r>
          </w:p>
        </w:tc>
        <w:tc>
          <w:tcPr>
            <w:tcW w:w="779" w:type="dxa"/>
            <w:tcBorders>
              <w:top w:val="nil"/>
              <w:left w:val="nil"/>
              <w:bottom w:val="nil"/>
              <w:right w:val="single" w:sz="4" w:space="0" w:color="auto"/>
            </w:tcBorders>
            <w:shd w:val="clear" w:color="auto" w:fill="auto"/>
            <w:noWrap/>
            <w:vAlign w:val="bottom"/>
            <w:hideMark/>
          </w:tcPr>
          <w:p w:rsidR="005A648E" w:rsidRPr="00DE2067" w:rsidP="005D17A3" w14:paraId="48F57291" w14:textId="77777777">
            <w:pPr>
              <w:jc w:val="center"/>
            </w:pPr>
            <w:r w:rsidRPr="00DE2067">
              <w:t>37%</w:t>
            </w:r>
          </w:p>
        </w:tc>
        <w:tc>
          <w:tcPr>
            <w:tcW w:w="931" w:type="dxa"/>
            <w:tcBorders>
              <w:top w:val="nil"/>
              <w:left w:val="nil"/>
              <w:bottom w:val="nil"/>
              <w:right w:val="nil"/>
            </w:tcBorders>
            <w:shd w:val="clear" w:color="auto" w:fill="auto"/>
            <w:noWrap/>
            <w:vAlign w:val="bottom"/>
            <w:hideMark/>
          </w:tcPr>
          <w:p w:rsidR="005A648E" w:rsidRPr="00DE2067" w:rsidP="005D17A3" w14:paraId="0B391213" w14:textId="77777777">
            <w:pPr>
              <w:jc w:val="center"/>
            </w:pPr>
            <w:r w:rsidRPr="00DE2067">
              <w:t>48,975</w:t>
            </w:r>
          </w:p>
        </w:tc>
        <w:tc>
          <w:tcPr>
            <w:tcW w:w="815" w:type="dxa"/>
            <w:tcBorders>
              <w:top w:val="nil"/>
              <w:left w:val="nil"/>
              <w:bottom w:val="nil"/>
              <w:right w:val="nil"/>
            </w:tcBorders>
            <w:shd w:val="clear" w:color="auto" w:fill="auto"/>
            <w:noWrap/>
            <w:vAlign w:val="bottom"/>
            <w:hideMark/>
          </w:tcPr>
          <w:p w:rsidR="005A648E" w:rsidRPr="00DE2067" w:rsidP="005D17A3" w14:paraId="27771DDF" w14:textId="77777777">
            <w:pPr>
              <w:jc w:val="center"/>
            </w:pPr>
            <w:r w:rsidRPr="00DE2067">
              <w:t>762</w:t>
            </w:r>
          </w:p>
        </w:tc>
        <w:tc>
          <w:tcPr>
            <w:tcW w:w="733" w:type="dxa"/>
            <w:tcBorders>
              <w:top w:val="nil"/>
              <w:left w:val="nil"/>
              <w:bottom w:val="nil"/>
              <w:right w:val="nil"/>
            </w:tcBorders>
            <w:shd w:val="clear" w:color="auto" w:fill="auto"/>
            <w:noWrap/>
            <w:vAlign w:val="bottom"/>
            <w:hideMark/>
          </w:tcPr>
          <w:p w:rsidR="005A648E" w:rsidRPr="00DE2067" w:rsidP="005D17A3" w14:paraId="1FC1CBFB" w14:textId="77777777">
            <w:pPr>
              <w:jc w:val="center"/>
            </w:pPr>
            <w:r w:rsidRPr="00DE2067">
              <w:t>36%</w:t>
            </w:r>
          </w:p>
        </w:tc>
        <w:tc>
          <w:tcPr>
            <w:tcW w:w="779" w:type="dxa"/>
            <w:tcBorders>
              <w:top w:val="nil"/>
              <w:left w:val="nil"/>
              <w:bottom w:val="nil"/>
              <w:right w:val="single" w:sz="8" w:space="0" w:color="auto"/>
            </w:tcBorders>
            <w:shd w:val="clear" w:color="auto" w:fill="auto"/>
            <w:noWrap/>
            <w:vAlign w:val="bottom"/>
            <w:hideMark/>
          </w:tcPr>
          <w:p w:rsidR="005A648E" w:rsidRPr="00DE2067" w:rsidP="005D17A3" w14:paraId="68BB1919" w14:textId="77777777">
            <w:pPr>
              <w:jc w:val="center"/>
            </w:pPr>
            <w:r w:rsidRPr="00DE2067">
              <w:t>43%</w:t>
            </w:r>
          </w:p>
        </w:tc>
      </w:tr>
      <w:tr w14:paraId="3E34B831" w14:textId="77777777" w:rsidTr="00914543">
        <w:tblPrEx>
          <w:tblW w:w="10895" w:type="dxa"/>
          <w:jc w:val="center"/>
          <w:tblLook w:val="04A0"/>
        </w:tblPrEx>
        <w:trPr>
          <w:trHeight w:val="233"/>
          <w:jc w:val="center"/>
        </w:trPr>
        <w:tc>
          <w:tcPr>
            <w:tcW w:w="1121" w:type="dxa"/>
            <w:tcBorders>
              <w:top w:val="nil"/>
              <w:left w:val="single" w:sz="8" w:space="0" w:color="auto"/>
              <w:bottom w:val="nil"/>
              <w:right w:val="nil"/>
            </w:tcBorders>
            <w:shd w:val="clear" w:color="auto" w:fill="auto"/>
            <w:noWrap/>
            <w:vAlign w:val="bottom"/>
            <w:hideMark/>
          </w:tcPr>
          <w:p w:rsidR="005A648E" w:rsidRPr="00DE2067" w:rsidP="005D17A3" w14:paraId="6E02BBC9" w14:textId="77777777">
            <w:pPr>
              <w:jc w:val="right"/>
            </w:pPr>
            <w:r w:rsidRPr="00DE2067">
              <w:t>2</w:t>
            </w:r>
          </w:p>
        </w:tc>
        <w:tc>
          <w:tcPr>
            <w:tcW w:w="931" w:type="dxa"/>
            <w:tcBorders>
              <w:top w:val="nil"/>
              <w:left w:val="single" w:sz="4" w:space="0" w:color="auto"/>
              <w:bottom w:val="nil"/>
              <w:right w:val="nil"/>
            </w:tcBorders>
            <w:shd w:val="clear" w:color="auto" w:fill="auto"/>
            <w:noWrap/>
            <w:vAlign w:val="bottom"/>
            <w:hideMark/>
          </w:tcPr>
          <w:p w:rsidR="005A648E" w:rsidRPr="00DE2067" w:rsidP="005D17A3" w14:paraId="79EB0B85" w14:textId="77777777">
            <w:pPr>
              <w:jc w:val="center"/>
            </w:pPr>
            <w:r w:rsidRPr="00DE2067">
              <w:t>13,578</w:t>
            </w:r>
          </w:p>
        </w:tc>
        <w:tc>
          <w:tcPr>
            <w:tcW w:w="815" w:type="dxa"/>
            <w:tcBorders>
              <w:top w:val="nil"/>
              <w:left w:val="nil"/>
              <w:bottom w:val="nil"/>
              <w:right w:val="nil"/>
            </w:tcBorders>
            <w:shd w:val="clear" w:color="auto" w:fill="auto"/>
            <w:noWrap/>
            <w:vAlign w:val="bottom"/>
            <w:hideMark/>
          </w:tcPr>
          <w:p w:rsidR="005A648E" w:rsidRPr="00DE2067" w:rsidP="005D17A3" w14:paraId="4925F71C" w14:textId="77777777">
            <w:pPr>
              <w:jc w:val="center"/>
            </w:pPr>
            <w:r w:rsidRPr="00DE2067">
              <w:t>503</w:t>
            </w:r>
          </w:p>
        </w:tc>
        <w:tc>
          <w:tcPr>
            <w:tcW w:w="733" w:type="dxa"/>
            <w:tcBorders>
              <w:top w:val="nil"/>
              <w:left w:val="nil"/>
              <w:bottom w:val="nil"/>
              <w:right w:val="nil"/>
            </w:tcBorders>
            <w:shd w:val="clear" w:color="auto" w:fill="auto"/>
            <w:noWrap/>
            <w:vAlign w:val="bottom"/>
            <w:hideMark/>
          </w:tcPr>
          <w:p w:rsidR="005A648E" w:rsidRPr="00DE2067" w:rsidP="005D17A3" w14:paraId="5085C882" w14:textId="77777777">
            <w:pPr>
              <w:jc w:val="center"/>
            </w:pPr>
            <w:r w:rsidRPr="00DE2067">
              <w:t>10%</w:t>
            </w:r>
          </w:p>
        </w:tc>
        <w:tc>
          <w:tcPr>
            <w:tcW w:w="779" w:type="dxa"/>
            <w:tcBorders>
              <w:top w:val="nil"/>
              <w:left w:val="nil"/>
              <w:bottom w:val="nil"/>
              <w:right w:val="single" w:sz="4" w:space="0" w:color="auto"/>
            </w:tcBorders>
            <w:shd w:val="clear" w:color="auto" w:fill="auto"/>
            <w:noWrap/>
            <w:vAlign w:val="bottom"/>
            <w:hideMark/>
          </w:tcPr>
          <w:p w:rsidR="005A648E" w:rsidRPr="00DE2067" w:rsidP="005D17A3" w14:paraId="376A0D2D" w14:textId="77777777">
            <w:pPr>
              <w:jc w:val="center"/>
            </w:pPr>
            <w:r w:rsidRPr="00DE2067">
              <w:t>29%</w:t>
            </w:r>
          </w:p>
        </w:tc>
        <w:tc>
          <w:tcPr>
            <w:tcW w:w="931" w:type="dxa"/>
            <w:tcBorders>
              <w:top w:val="nil"/>
              <w:left w:val="nil"/>
              <w:bottom w:val="nil"/>
              <w:right w:val="nil"/>
            </w:tcBorders>
            <w:shd w:val="clear" w:color="auto" w:fill="auto"/>
            <w:noWrap/>
            <w:vAlign w:val="bottom"/>
            <w:hideMark/>
          </w:tcPr>
          <w:p w:rsidR="005A648E" w:rsidRPr="00DE2067" w:rsidP="005D17A3" w14:paraId="7A884B0A" w14:textId="77777777">
            <w:pPr>
              <w:jc w:val="center"/>
            </w:pPr>
            <w:r w:rsidRPr="00DE2067">
              <w:t>58,640</w:t>
            </w:r>
          </w:p>
        </w:tc>
        <w:tc>
          <w:tcPr>
            <w:tcW w:w="815" w:type="dxa"/>
            <w:tcBorders>
              <w:top w:val="nil"/>
              <w:left w:val="nil"/>
              <w:bottom w:val="nil"/>
              <w:right w:val="nil"/>
            </w:tcBorders>
            <w:shd w:val="clear" w:color="auto" w:fill="auto"/>
            <w:noWrap/>
            <w:vAlign w:val="bottom"/>
            <w:hideMark/>
          </w:tcPr>
          <w:p w:rsidR="005A648E" w:rsidRPr="00DE2067" w:rsidP="005D17A3" w14:paraId="59B3BAB6" w14:textId="77777777">
            <w:pPr>
              <w:jc w:val="center"/>
            </w:pPr>
            <w:r w:rsidRPr="00DE2067">
              <w:t>362</w:t>
            </w:r>
          </w:p>
        </w:tc>
        <w:tc>
          <w:tcPr>
            <w:tcW w:w="733" w:type="dxa"/>
            <w:tcBorders>
              <w:top w:val="nil"/>
              <w:left w:val="nil"/>
              <w:bottom w:val="nil"/>
              <w:right w:val="nil"/>
            </w:tcBorders>
            <w:shd w:val="clear" w:color="auto" w:fill="auto"/>
            <w:noWrap/>
            <w:vAlign w:val="bottom"/>
            <w:hideMark/>
          </w:tcPr>
          <w:p w:rsidR="005A648E" w:rsidRPr="00DE2067" w:rsidP="005D17A3" w14:paraId="5F0ED086" w14:textId="77777777">
            <w:pPr>
              <w:jc w:val="center"/>
            </w:pPr>
            <w:r w:rsidRPr="00DE2067">
              <w:t>43%</w:t>
            </w:r>
          </w:p>
        </w:tc>
        <w:tc>
          <w:tcPr>
            <w:tcW w:w="779" w:type="dxa"/>
            <w:tcBorders>
              <w:top w:val="nil"/>
              <w:left w:val="nil"/>
              <w:bottom w:val="nil"/>
              <w:right w:val="single" w:sz="4" w:space="0" w:color="auto"/>
            </w:tcBorders>
            <w:shd w:val="clear" w:color="auto" w:fill="auto"/>
            <w:noWrap/>
            <w:vAlign w:val="bottom"/>
            <w:hideMark/>
          </w:tcPr>
          <w:p w:rsidR="005A648E" w:rsidRPr="00DE2067" w:rsidP="005D17A3" w14:paraId="5662A0E9" w14:textId="77777777">
            <w:pPr>
              <w:jc w:val="center"/>
            </w:pPr>
            <w:r w:rsidRPr="00DE2067">
              <w:t>21%</w:t>
            </w:r>
          </w:p>
        </w:tc>
        <w:tc>
          <w:tcPr>
            <w:tcW w:w="931" w:type="dxa"/>
            <w:tcBorders>
              <w:top w:val="nil"/>
              <w:left w:val="nil"/>
              <w:bottom w:val="nil"/>
              <w:right w:val="nil"/>
            </w:tcBorders>
            <w:shd w:val="clear" w:color="auto" w:fill="auto"/>
            <w:noWrap/>
            <w:vAlign w:val="bottom"/>
            <w:hideMark/>
          </w:tcPr>
          <w:p w:rsidR="005A648E" w:rsidRPr="00DE2067" w:rsidP="005D17A3" w14:paraId="20C3EAA1" w14:textId="77777777">
            <w:pPr>
              <w:jc w:val="center"/>
            </w:pPr>
            <w:r w:rsidRPr="00DE2067">
              <w:t>62,578</w:t>
            </w:r>
          </w:p>
        </w:tc>
        <w:tc>
          <w:tcPr>
            <w:tcW w:w="815" w:type="dxa"/>
            <w:tcBorders>
              <w:top w:val="nil"/>
              <w:left w:val="nil"/>
              <w:bottom w:val="nil"/>
              <w:right w:val="nil"/>
            </w:tcBorders>
            <w:shd w:val="clear" w:color="auto" w:fill="auto"/>
            <w:noWrap/>
            <w:vAlign w:val="bottom"/>
            <w:hideMark/>
          </w:tcPr>
          <w:p w:rsidR="005A648E" w:rsidRPr="00DE2067" w:rsidP="005D17A3" w14:paraId="170CF01E" w14:textId="77777777">
            <w:pPr>
              <w:jc w:val="center"/>
            </w:pPr>
            <w:r w:rsidRPr="00DE2067">
              <w:t>335</w:t>
            </w:r>
          </w:p>
        </w:tc>
        <w:tc>
          <w:tcPr>
            <w:tcW w:w="733" w:type="dxa"/>
            <w:tcBorders>
              <w:top w:val="nil"/>
              <w:left w:val="nil"/>
              <w:bottom w:val="nil"/>
              <w:right w:val="nil"/>
            </w:tcBorders>
            <w:shd w:val="clear" w:color="auto" w:fill="auto"/>
            <w:noWrap/>
            <w:vAlign w:val="bottom"/>
            <w:hideMark/>
          </w:tcPr>
          <w:p w:rsidR="005A648E" w:rsidRPr="00DE2067" w:rsidP="005D17A3" w14:paraId="66646944" w14:textId="77777777">
            <w:pPr>
              <w:jc w:val="center"/>
            </w:pPr>
            <w:r w:rsidRPr="00DE2067">
              <w:t>46%</w:t>
            </w:r>
          </w:p>
        </w:tc>
        <w:tc>
          <w:tcPr>
            <w:tcW w:w="779" w:type="dxa"/>
            <w:tcBorders>
              <w:top w:val="nil"/>
              <w:left w:val="nil"/>
              <w:bottom w:val="nil"/>
              <w:right w:val="single" w:sz="8" w:space="0" w:color="auto"/>
            </w:tcBorders>
            <w:shd w:val="clear" w:color="auto" w:fill="auto"/>
            <w:noWrap/>
            <w:vAlign w:val="bottom"/>
            <w:hideMark/>
          </w:tcPr>
          <w:p w:rsidR="005A648E" w:rsidRPr="00DE2067" w:rsidP="005D17A3" w14:paraId="352742A6" w14:textId="77777777">
            <w:pPr>
              <w:jc w:val="center"/>
            </w:pPr>
            <w:r w:rsidRPr="00DE2067">
              <w:t>19%</w:t>
            </w:r>
          </w:p>
        </w:tc>
      </w:tr>
      <w:tr w14:paraId="78BACF20" w14:textId="77777777" w:rsidTr="00914543">
        <w:tblPrEx>
          <w:tblW w:w="10895" w:type="dxa"/>
          <w:jc w:val="center"/>
          <w:tblLook w:val="04A0"/>
        </w:tblPrEx>
        <w:trPr>
          <w:trHeight w:val="249"/>
          <w:jc w:val="center"/>
        </w:trPr>
        <w:tc>
          <w:tcPr>
            <w:tcW w:w="1121" w:type="dxa"/>
            <w:tcBorders>
              <w:top w:val="nil"/>
              <w:left w:val="single" w:sz="8" w:space="0" w:color="auto"/>
              <w:bottom w:val="double" w:sz="6" w:space="0" w:color="auto"/>
              <w:right w:val="nil"/>
            </w:tcBorders>
            <w:shd w:val="clear" w:color="auto" w:fill="auto"/>
            <w:noWrap/>
            <w:vAlign w:val="bottom"/>
            <w:hideMark/>
          </w:tcPr>
          <w:p w:rsidR="005A648E" w:rsidRPr="00DE2067" w:rsidP="005D17A3" w14:paraId="078AFA22" w14:textId="77777777">
            <w:pPr>
              <w:jc w:val="right"/>
            </w:pPr>
            <w:r w:rsidRPr="00DE2067">
              <w:t>3 or more</w:t>
            </w:r>
          </w:p>
        </w:tc>
        <w:tc>
          <w:tcPr>
            <w:tcW w:w="931" w:type="dxa"/>
            <w:tcBorders>
              <w:top w:val="nil"/>
              <w:left w:val="single" w:sz="4" w:space="0" w:color="auto"/>
              <w:bottom w:val="double" w:sz="6" w:space="0" w:color="auto"/>
              <w:right w:val="nil"/>
            </w:tcBorders>
            <w:shd w:val="clear" w:color="auto" w:fill="auto"/>
            <w:noWrap/>
            <w:vAlign w:val="bottom"/>
            <w:hideMark/>
          </w:tcPr>
          <w:p w:rsidR="005A648E" w:rsidRPr="00DE2067" w:rsidP="005D17A3" w14:paraId="79AAA504" w14:textId="77777777">
            <w:pPr>
              <w:jc w:val="center"/>
            </w:pPr>
            <w:r w:rsidRPr="00DE2067">
              <w:t>121,962</w:t>
            </w:r>
          </w:p>
        </w:tc>
        <w:tc>
          <w:tcPr>
            <w:tcW w:w="815" w:type="dxa"/>
            <w:tcBorders>
              <w:top w:val="nil"/>
              <w:left w:val="nil"/>
              <w:bottom w:val="double" w:sz="6" w:space="0" w:color="auto"/>
              <w:right w:val="nil"/>
            </w:tcBorders>
            <w:shd w:val="clear" w:color="auto" w:fill="auto"/>
            <w:noWrap/>
            <w:vAlign w:val="bottom"/>
            <w:hideMark/>
          </w:tcPr>
          <w:p w:rsidR="005A648E" w:rsidRPr="00DE2067" w:rsidP="005D17A3" w14:paraId="22899346" w14:textId="77777777">
            <w:pPr>
              <w:jc w:val="center"/>
            </w:pPr>
            <w:r w:rsidRPr="00DE2067">
              <w:t>1,024</w:t>
            </w:r>
          </w:p>
        </w:tc>
        <w:tc>
          <w:tcPr>
            <w:tcW w:w="733" w:type="dxa"/>
            <w:tcBorders>
              <w:top w:val="nil"/>
              <w:left w:val="nil"/>
              <w:bottom w:val="double" w:sz="6" w:space="0" w:color="auto"/>
              <w:right w:val="nil"/>
            </w:tcBorders>
            <w:shd w:val="clear" w:color="auto" w:fill="auto"/>
            <w:noWrap/>
            <w:vAlign w:val="bottom"/>
            <w:hideMark/>
          </w:tcPr>
          <w:p w:rsidR="005A648E" w:rsidRPr="00DE2067" w:rsidP="005D17A3" w14:paraId="12E3B1FC" w14:textId="77777777">
            <w:pPr>
              <w:jc w:val="center"/>
            </w:pPr>
            <w:r w:rsidRPr="00DE2067">
              <w:t>89%</w:t>
            </w:r>
          </w:p>
        </w:tc>
        <w:tc>
          <w:tcPr>
            <w:tcW w:w="779" w:type="dxa"/>
            <w:tcBorders>
              <w:top w:val="nil"/>
              <w:left w:val="nil"/>
              <w:bottom w:val="double" w:sz="6" w:space="0" w:color="auto"/>
              <w:right w:val="single" w:sz="4" w:space="0" w:color="auto"/>
            </w:tcBorders>
            <w:shd w:val="clear" w:color="auto" w:fill="auto"/>
            <w:noWrap/>
            <w:vAlign w:val="bottom"/>
            <w:hideMark/>
          </w:tcPr>
          <w:p w:rsidR="005A648E" w:rsidRPr="00DE2067" w:rsidP="005D17A3" w14:paraId="442FC3F3" w14:textId="77777777">
            <w:pPr>
              <w:jc w:val="center"/>
            </w:pPr>
            <w:r w:rsidRPr="00DE2067">
              <w:t>58%</w:t>
            </w:r>
          </w:p>
        </w:tc>
        <w:tc>
          <w:tcPr>
            <w:tcW w:w="931" w:type="dxa"/>
            <w:tcBorders>
              <w:top w:val="nil"/>
              <w:left w:val="nil"/>
              <w:bottom w:val="double" w:sz="6" w:space="0" w:color="auto"/>
              <w:right w:val="nil"/>
            </w:tcBorders>
            <w:shd w:val="clear" w:color="auto" w:fill="auto"/>
            <w:noWrap/>
            <w:vAlign w:val="bottom"/>
            <w:hideMark/>
          </w:tcPr>
          <w:p w:rsidR="005A648E" w:rsidRPr="00DE2067" w:rsidP="005D17A3" w14:paraId="777D0BFA" w14:textId="77777777">
            <w:pPr>
              <w:jc w:val="center"/>
            </w:pPr>
            <w:r w:rsidRPr="00DE2067">
              <w:t>27,173</w:t>
            </w:r>
          </w:p>
        </w:tc>
        <w:tc>
          <w:tcPr>
            <w:tcW w:w="815" w:type="dxa"/>
            <w:tcBorders>
              <w:top w:val="nil"/>
              <w:left w:val="nil"/>
              <w:bottom w:val="double" w:sz="6" w:space="0" w:color="auto"/>
              <w:right w:val="nil"/>
            </w:tcBorders>
            <w:shd w:val="clear" w:color="auto" w:fill="auto"/>
            <w:noWrap/>
            <w:vAlign w:val="bottom"/>
            <w:hideMark/>
          </w:tcPr>
          <w:p w:rsidR="005A648E" w:rsidRPr="00DE2067" w:rsidP="005D17A3" w14:paraId="134179B2" w14:textId="77777777">
            <w:pPr>
              <w:jc w:val="center"/>
            </w:pPr>
            <w:r w:rsidRPr="00DE2067">
              <w:t>194</w:t>
            </w:r>
          </w:p>
        </w:tc>
        <w:tc>
          <w:tcPr>
            <w:tcW w:w="733" w:type="dxa"/>
            <w:tcBorders>
              <w:top w:val="nil"/>
              <w:left w:val="nil"/>
              <w:bottom w:val="double" w:sz="6" w:space="0" w:color="auto"/>
              <w:right w:val="nil"/>
            </w:tcBorders>
            <w:shd w:val="clear" w:color="auto" w:fill="auto"/>
            <w:noWrap/>
            <w:vAlign w:val="bottom"/>
            <w:hideMark/>
          </w:tcPr>
          <w:p w:rsidR="005A648E" w:rsidRPr="00DE2067" w:rsidP="005D17A3" w14:paraId="51E66F84" w14:textId="77777777">
            <w:pPr>
              <w:jc w:val="center"/>
            </w:pPr>
            <w:r w:rsidRPr="00DE2067">
              <w:t>20%</w:t>
            </w:r>
          </w:p>
        </w:tc>
        <w:tc>
          <w:tcPr>
            <w:tcW w:w="779" w:type="dxa"/>
            <w:tcBorders>
              <w:top w:val="nil"/>
              <w:left w:val="nil"/>
              <w:bottom w:val="double" w:sz="6" w:space="0" w:color="auto"/>
              <w:right w:val="single" w:sz="4" w:space="0" w:color="auto"/>
            </w:tcBorders>
            <w:shd w:val="clear" w:color="auto" w:fill="auto"/>
            <w:noWrap/>
            <w:vAlign w:val="bottom"/>
            <w:hideMark/>
          </w:tcPr>
          <w:p w:rsidR="005A648E" w:rsidRPr="00DE2067" w:rsidP="005D17A3" w14:paraId="1050EA3B" w14:textId="77777777">
            <w:pPr>
              <w:jc w:val="center"/>
            </w:pPr>
            <w:r w:rsidRPr="00DE2067">
              <w:t>11%</w:t>
            </w:r>
          </w:p>
        </w:tc>
        <w:tc>
          <w:tcPr>
            <w:tcW w:w="931" w:type="dxa"/>
            <w:tcBorders>
              <w:top w:val="nil"/>
              <w:left w:val="nil"/>
              <w:bottom w:val="double" w:sz="6" w:space="0" w:color="auto"/>
              <w:right w:val="nil"/>
            </w:tcBorders>
            <w:shd w:val="clear" w:color="auto" w:fill="auto"/>
            <w:noWrap/>
            <w:vAlign w:val="bottom"/>
            <w:hideMark/>
          </w:tcPr>
          <w:p w:rsidR="005A648E" w:rsidRPr="00DE2067" w:rsidP="005D17A3" w14:paraId="0B3693A8" w14:textId="77777777">
            <w:pPr>
              <w:jc w:val="center"/>
            </w:pPr>
            <w:r w:rsidRPr="00DE2067">
              <w:t>13,966</w:t>
            </w:r>
          </w:p>
        </w:tc>
        <w:tc>
          <w:tcPr>
            <w:tcW w:w="815" w:type="dxa"/>
            <w:tcBorders>
              <w:top w:val="nil"/>
              <w:left w:val="nil"/>
              <w:bottom w:val="double" w:sz="6" w:space="0" w:color="auto"/>
              <w:right w:val="nil"/>
            </w:tcBorders>
            <w:shd w:val="clear" w:color="auto" w:fill="auto"/>
            <w:noWrap/>
            <w:vAlign w:val="bottom"/>
            <w:hideMark/>
          </w:tcPr>
          <w:p w:rsidR="005A648E" w:rsidRPr="00DE2067" w:rsidP="005D17A3" w14:paraId="47CB4CAD" w14:textId="77777777">
            <w:pPr>
              <w:jc w:val="center"/>
            </w:pPr>
            <w:r w:rsidRPr="00DE2067">
              <w:t>26</w:t>
            </w:r>
          </w:p>
        </w:tc>
        <w:tc>
          <w:tcPr>
            <w:tcW w:w="733" w:type="dxa"/>
            <w:tcBorders>
              <w:top w:val="nil"/>
              <w:left w:val="nil"/>
              <w:bottom w:val="double" w:sz="6" w:space="0" w:color="auto"/>
              <w:right w:val="nil"/>
            </w:tcBorders>
            <w:shd w:val="clear" w:color="auto" w:fill="auto"/>
            <w:noWrap/>
            <w:vAlign w:val="bottom"/>
            <w:hideMark/>
          </w:tcPr>
          <w:p w:rsidR="005A648E" w:rsidRPr="00DE2067" w:rsidP="005D17A3" w14:paraId="5D496EF9" w14:textId="77777777">
            <w:pPr>
              <w:jc w:val="center"/>
            </w:pPr>
            <w:r w:rsidRPr="00DE2067">
              <w:t>10%</w:t>
            </w:r>
          </w:p>
        </w:tc>
        <w:tc>
          <w:tcPr>
            <w:tcW w:w="779" w:type="dxa"/>
            <w:tcBorders>
              <w:top w:val="nil"/>
              <w:left w:val="nil"/>
              <w:bottom w:val="double" w:sz="6" w:space="0" w:color="auto"/>
              <w:right w:val="single" w:sz="8" w:space="0" w:color="auto"/>
            </w:tcBorders>
            <w:shd w:val="clear" w:color="auto" w:fill="auto"/>
            <w:noWrap/>
            <w:vAlign w:val="bottom"/>
            <w:hideMark/>
          </w:tcPr>
          <w:p w:rsidR="005A648E" w:rsidRPr="00DE2067" w:rsidP="005D17A3" w14:paraId="65333666" w14:textId="77777777">
            <w:pPr>
              <w:jc w:val="center"/>
            </w:pPr>
            <w:r w:rsidRPr="00DE2067">
              <w:t>2%</w:t>
            </w:r>
          </w:p>
        </w:tc>
      </w:tr>
      <w:tr w14:paraId="74D54662" w14:textId="77777777" w:rsidTr="00914543">
        <w:tblPrEx>
          <w:tblW w:w="10895" w:type="dxa"/>
          <w:jc w:val="center"/>
          <w:tblLook w:val="04A0"/>
        </w:tblPrEx>
        <w:trPr>
          <w:trHeight w:val="189"/>
          <w:jc w:val="center"/>
        </w:trPr>
        <w:tc>
          <w:tcPr>
            <w:tcW w:w="1121" w:type="dxa"/>
            <w:tcBorders>
              <w:top w:val="nil"/>
              <w:left w:val="single" w:sz="8" w:space="0" w:color="auto"/>
              <w:bottom w:val="single" w:sz="8" w:space="0" w:color="auto"/>
              <w:right w:val="nil"/>
            </w:tcBorders>
            <w:shd w:val="clear" w:color="auto" w:fill="auto"/>
            <w:noWrap/>
            <w:vAlign w:val="bottom"/>
            <w:hideMark/>
          </w:tcPr>
          <w:p w:rsidR="005A648E" w:rsidRPr="00DE2067" w:rsidP="005D17A3" w14:paraId="31A90A4B" w14:textId="77777777">
            <w:pPr>
              <w:jc w:val="right"/>
            </w:pPr>
            <w:r w:rsidRPr="00DE2067">
              <w:t>Total</w:t>
            </w:r>
          </w:p>
        </w:tc>
        <w:tc>
          <w:tcPr>
            <w:tcW w:w="931" w:type="dxa"/>
            <w:tcBorders>
              <w:top w:val="nil"/>
              <w:left w:val="single" w:sz="4" w:space="0" w:color="auto"/>
              <w:bottom w:val="single" w:sz="8" w:space="0" w:color="auto"/>
              <w:right w:val="nil"/>
            </w:tcBorders>
            <w:shd w:val="clear" w:color="auto" w:fill="auto"/>
            <w:noWrap/>
            <w:vAlign w:val="bottom"/>
            <w:hideMark/>
          </w:tcPr>
          <w:p w:rsidR="005A648E" w:rsidRPr="00DE2067" w:rsidP="005D17A3" w14:paraId="3CFCA8E7" w14:textId="77777777">
            <w:pPr>
              <w:jc w:val="center"/>
            </w:pPr>
            <w:r w:rsidRPr="00DE2067">
              <w:t>137,254</w:t>
            </w:r>
          </w:p>
        </w:tc>
        <w:tc>
          <w:tcPr>
            <w:tcW w:w="815" w:type="dxa"/>
            <w:tcBorders>
              <w:top w:val="nil"/>
              <w:left w:val="nil"/>
              <w:bottom w:val="single" w:sz="8" w:space="0" w:color="auto"/>
              <w:right w:val="nil"/>
            </w:tcBorders>
            <w:shd w:val="clear" w:color="auto" w:fill="auto"/>
            <w:noWrap/>
            <w:vAlign w:val="bottom"/>
            <w:hideMark/>
          </w:tcPr>
          <w:p w:rsidR="005A648E" w:rsidRPr="00DE2067" w:rsidP="005D17A3" w14:paraId="43E86E99" w14:textId="77777777">
            <w:pPr>
              <w:jc w:val="center"/>
            </w:pPr>
            <w:r w:rsidRPr="00DE2067">
              <w:t>1,750</w:t>
            </w:r>
          </w:p>
        </w:tc>
        <w:tc>
          <w:tcPr>
            <w:tcW w:w="733" w:type="dxa"/>
            <w:tcBorders>
              <w:top w:val="nil"/>
              <w:left w:val="nil"/>
              <w:bottom w:val="single" w:sz="8" w:space="0" w:color="auto"/>
              <w:right w:val="nil"/>
            </w:tcBorders>
            <w:shd w:val="clear" w:color="auto" w:fill="auto"/>
            <w:noWrap/>
            <w:vAlign w:val="bottom"/>
            <w:hideMark/>
          </w:tcPr>
          <w:p w:rsidR="005A648E" w:rsidRPr="00DE2067" w:rsidP="005D17A3" w14:paraId="46E7C4C4" w14:textId="77777777">
            <w:pPr>
              <w:jc w:val="center"/>
              <w:rPr>
                <w:iCs/>
              </w:rPr>
            </w:pPr>
            <w:r w:rsidRPr="00DE2067">
              <w:rPr>
                <w:iCs/>
              </w:rPr>
              <w:t>100%</w:t>
            </w:r>
          </w:p>
        </w:tc>
        <w:tc>
          <w:tcPr>
            <w:tcW w:w="779" w:type="dxa"/>
            <w:tcBorders>
              <w:top w:val="nil"/>
              <w:left w:val="nil"/>
              <w:bottom w:val="single" w:sz="8" w:space="0" w:color="auto"/>
              <w:right w:val="single" w:sz="4" w:space="0" w:color="auto"/>
            </w:tcBorders>
            <w:shd w:val="clear" w:color="auto" w:fill="auto"/>
            <w:noWrap/>
            <w:vAlign w:val="bottom"/>
            <w:hideMark/>
          </w:tcPr>
          <w:p w:rsidR="005A648E" w:rsidRPr="00DE2067" w:rsidP="005D17A3" w14:paraId="44745D3B" w14:textId="77777777">
            <w:pPr>
              <w:jc w:val="center"/>
              <w:rPr>
                <w:iCs/>
              </w:rPr>
            </w:pPr>
            <w:r w:rsidRPr="00DE2067">
              <w:rPr>
                <w:iCs/>
              </w:rPr>
              <w:t>100%</w:t>
            </w:r>
          </w:p>
        </w:tc>
        <w:tc>
          <w:tcPr>
            <w:tcW w:w="931" w:type="dxa"/>
            <w:tcBorders>
              <w:top w:val="nil"/>
              <w:left w:val="nil"/>
              <w:bottom w:val="single" w:sz="8" w:space="0" w:color="auto"/>
              <w:right w:val="nil"/>
            </w:tcBorders>
            <w:shd w:val="clear" w:color="auto" w:fill="auto"/>
            <w:noWrap/>
            <w:vAlign w:val="bottom"/>
            <w:hideMark/>
          </w:tcPr>
          <w:p w:rsidR="005A648E" w:rsidRPr="00DE2067" w:rsidP="005D17A3" w14:paraId="3F298BF5" w14:textId="77777777">
            <w:pPr>
              <w:jc w:val="center"/>
            </w:pPr>
            <w:r w:rsidRPr="00DE2067">
              <w:t>137,254</w:t>
            </w:r>
          </w:p>
        </w:tc>
        <w:tc>
          <w:tcPr>
            <w:tcW w:w="815" w:type="dxa"/>
            <w:tcBorders>
              <w:top w:val="nil"/>
              <w:left w:val="nil"/>
              <w:bottom w:val="single" w:sz="8" w:space="0" w:color="auto"/>
              <w:right w:val="nil"/>
            </w:tcBorders>
            <w:shd w:val="clear" w:color="auto" w:fill="auto"/>
            <w:noWrap/>
            <w:vAlign w:val="bottom"/>
            <w:hideMark/>
          </w:tcPr>
          <w:p w:rsidR="005A648E" w:rsidRPr="00DE2067" w:rsidP="005D17A3" w14:paraId="37EB0295" w14:textId="77777777">
            <w:pPr>
              <w:jc w:val="center"/>
            </w:pPr>
            <w:r w:rsidRPr="00DE2067">
              <w:t>1,750</w:t>
            </w:r>
          </w:p>
        </w:tc>
        <w:tc>
          <w:tcPr>
            <w:tcW w:w="733" w:type="dxa"/>
            <w:tcBorders>
              <w:top w:val="nil"/>
              <w:left w:val="nil"/>
              <w:bottom w:val="single" w:sz="8" w:space="0" w:color="auto"/>
              <w:right w:val="nil"/>
            </w:tcBorders>
            <w:shd w:val="clear" w:color="auto" w:fill="auto"/>
            <w:noWrap/>
            <w:vAlign w:val="bottom"/>
            <w:hideMark/>
          </w:tcPr>
          <w:p w:rsidR="005A648E" w:rsidRPr="00DE2067" w:rsidP="005D17A3" w14:paraId="4DCEDA08" w14:textId="77777777">
            <w:pPr>
              <w:jc w:val="center"/>
              <w:rPr>
                <w:iCs/>
              </w:rPr>
            </w:pPr>
            <w:r w:rsidRPr="00DE2067">
              <w:rPr>
                <w:iCs/>
              </w:rPr>
              <w:t>100%</w:t>
            </w:r>
          </w:p>
        </w:tc>
        <w:tc>
          <w:tcPr>
            <w:tcW w:w="779" w:type="dxa"/>
            <w:tcBorders>
              <w:top w:val="nil"/>
              <w:left w:val="nil"/>
              <w:bottom w:val="single" w:sz="8" w:space="0" w:color="auto"/>
              <w:right w:val="single" w:sz="4" w:space="0" w:color="auto"/>
            </w:tcBorders>
            <w:shd w:val="clear" w:color="auto" w:fill="auto"/>
            <w:noWrap/>
            <w:vAlign w:val="bottom"/>
            <w:hideMark/>
          </w:tcPr>
          <w:p w:rsidR="005A648E" w:rsidRPr="00DE2067" w:rsidP="005D17A3" w14:paraId="138F3ED3" w14:textId="77777777">
            <w:pPr>
              <w:jc w:val="center"/>
              <w:rPr>
                <w:iCs/>
              </w:rPr>
            </w:pPr>
            <w:r w:rsidRPr="00DE2067">
              <w:rPr>
                <w:iCs/>
              </w:rPr>
              <w:t>100%</w:t>
            </w:r>
          </w:p>
        </w:tc>
        <w:tc>
          <w:tcPr>
            <w:tcW w:w="931" w:type="dxa"/>
            <w:tcBorders>
              <w:top w:val="nil"/>
              <w:left w:val="nil"/>
              <w:bottom w:val="single" w:sz="8" w:space="0" w:color="auto"/>
              <w:right w:val="nil"/>
            </w:tcBorders>
            <w:shd w:val="clear" w:color="auto" w:fill="auto"/>
            <w:noWrap/>
            <w:vAlign w:val="bottom"/>
            <w:hideMark/>
          </w:tcPr>
          <w:p w:rsidR="005A648E" w:rsidRPr="00DE2067" w:rsidP="005D17A3" w14:paraId="7969D6ED" w14:textId="77777777">
            <w:pPr>
              <w:jc w:val="center"/>
            </w:pPr>
            <w:r w:rsidRPr="00DE2067">
              <w:t>137,254</w:t>
            </w:r>
          </w:p>
        </w:tc>
        <w:tc>
          <w:tcPr>
            <w:tcW w:w="815" w:type="dxa"/>
            <w:tcBorders>
              <w:top w:val="nil"/>
              <w:left w:val="nil"/>
              <w:bottom w:val="single" w:sz="8" w:space="0" w:color="auto"/>
              <w:right w:val="nil"/>
            </w:tcBorders>
            <w:shd w:val="clear" w:color="auto" w:fill="auto"/>
            <w:noWrap/>
            <w:vAlign w:val="bottom"/>
            <w:hideMark/>
          </w:tcPr>
          <w:p w:rsidR="005A648E" w:rsidRPr="00DE2067" w:rsidP="005D17A3" w14:paraId="6C673DBA" w14:textId="77777777">
            <w:pPr>
              <w:jc w:val="center"/>
            </w:pPr>
            <w:r w:rsidRPr="00DE2067">
              <w:t>1,750</w:t>
            </w:r>
          </w:p>
        </w:tc>
        <w:tc>
          <w:tcPr>
            <w:tcW w:w="733" w:type="dxa"/>
            <w:tcBorders>
              <w:top w:val="nil"/>
              <w:left w:val="nil"/>
              <w:bottom w:val="single" w:sz="8" w:space="0" w:color="auto"/>
              <w:right w:val="nil"/>
            </w:tcBorders>
            <w:shd w:val="clear" w:color="auto" w:fill="auto"/>
            <w:noWrap/>
            <w:vAlign w:val="bottom"/>
            <w:hideMark/>
          </w:tcPr>
          <w:p w:rsidR="005A648E" w:rsidRPr="00DE2067" w:rsidP="005D17A3" w14:paraId="4FB7FDAF" w14:textId="77777777">
            <w:pPr>
              <w:jc w:val="center"/>
              <w:rPr>
                <w:iCs/>
              </w:rPr>
            </w:pPr>
            <w:r w:rsidRPr="00DE2067">
              <w:rPr>
                <w:iCs/>
              </w:rPr>
              <w:t>100%</w:t>
            </w:r>
          </w:p>
        </w:tc>
        <w:tc>
          <w:tcPr>
            <w:tcW w:w="779" w:type="dxa"/>
            <w:tcBorders>
              <w:top w:val="nil"/>
              <w:left w:val="nil"/>
              <w:bottom w:val="single" w:sz="8" w:space="0" w:color="auto"/>
              <w:right w:val="single" w:sz="8" w:space="0" w:color="auto"/>
            </w:tcBorders>
            <w:shd w:val="clear" w:color="auto" w:fill="auto"/>
            <w:noWrap/>
            <w:vAlign w:val="bottom"/>
            <w:hideMark/>
          </w:tcPr>
          <w:p w:rsidR="005A648E" w:rsidRPr="00DE2067" w:rsidP="005D17A3" w14:paraId="608BF8D1" w14:textId="77777777">
            <w:pPr>
              <w:jc w:val="center"/>
              <w:rPr>
                <w:iCs/>
              </w:rPr>
            </w:pPr>
            <w:r w:rsidRPr="00DE2067">
              <w:rPr>
                <w:iCs/>
              </w:rPr>
              <w:t>100%</w:t>
            </w:r>
          </w:p>
        </w:tc>
      </w:tr>
    </w:tbl>
    <w:p w:rsidR="00914543" w:rsidP="00D26ABA" w14:paraId="62A9B1FB" w14:textId="77777777">
      <w:pPr>
        <w:spacing w:before="120" w:after="120"/>
        <w:ind w:firstLine="720"/>
      </w:pPr>
      <w:r>
        <w:t xml:space="preserve">Even when examining fixed broadband deployment at lower speeds, Tribal housing units </w:t>
      </w:r>
      <w:r>
        <w:t>lag behind</w:t>
      </w:r>
      <w:r w:rsidR="00884701">
        <w:t xml:space="preserve"> those on non-Tribal lands</w:t>
      </w:r>
      <w:r>
        <w:t>.</w:t>
      </w:r>
      <w:r w:rsidRPr="00D85509" w:rsidR="005A648E">
        <w:t xml:space="preserve"> </w:t>
      </w:r>
      <w:r>
        <w:t xml:space="preserve"> </w:t>
      </w:r>
      <w:r w:rsidR="00884701">
        <w:t>For example, as Figure 3 shows, only 6% of housing units on non-Tribal lands lack coverage by any wired provider of 10/1 Mbps, while 25% of housing units on Tribal lands</w:t>
      </w:r>
      <w:r w:rsidRPr="00D85509" w:rsidR="006D029B">
        <w:t>—</w:t>
      </w:r>
      <w:r w:rsidR="006D029B">
        <w:t xml:space="preserve">about </w:t>
      </w:r>
      <w:r w:rsidRPr="00D85509" w:rsidR="006D029B">
        <w:t>4</w:t>
      </w:r>
      <w:r w:rsidR="006D029B">
        <w:t>31</w:t>
      </w:r>
      <w:r w:rsidRPr="00D85509" w:rsidR="006D029B">
        <w:t xml:space="preserve">,000—have no wired option for </w:t>
      </w:r>
      <w:r w:rsidR="006D029B">
        <w:t>10/1 Mbps</w:t>
      </w:r>
      <w:r w:rsidRPr="00D85509" w:rsidR="006D029B">
        <w:t xml:space="preserve"> service.  </w:t>
      </w:r>
      <w:r w:rsidR="00884701">
        <w:t xml:space="preserve"> </w:t>
      </w:r>
      <w:r w:rsidRPr="00D85509" w:rsidR="005A648E">
        <w:t xml:space="preserve">Figure </w:t>
      </w:r>
      <w:r w:rsidR="00083BC3">
        <w:t>3</w:t>
      </w:r>
      <w:r w:rsidRPr="00D85509" w:rsidR="005A648E">
        <w:t xml:space="preserve"> </w:t>
      </w:r>
      <w:r w:rsidR="00884701">
        <w:t xml:space="preserve">also </w:t>
      </w:r>
      <w:r w:rsidRPr="00D85509" w:rsidR="005A648E">
        <w:t>demonstrates</w:t>
      </w:r>
      <w:r w:rsidR="00884701">
        <w:t xml:space="preserve"> that</w:t>
      </w:r>
      <w:r w:rsidR="006D029B">
        <w:t xml:space="preserve"> even those individuals who do have access to such a provider, tend to have access to fewer providers than their counterparts on non-Tribal lands.  A</w:t>
      </w:r>
      <w:r w:rsidRPr="00D85509" w:rsidR="005A648E">
        <w:t xml:space="preserve"> </w:t>
      </w:r>
      <w:r w:rsidR="00F62045">
        <w:t>significant number</w:t>
      </w:r>
      <w:r w:rsidR="006D029B">
        <w:t xml:space="preserve"> of housing units on Tribal lands, 45%,</w:t>
      </w:r>
      <w:r w:rsidRPr="00D85509" w:rsidR="005A648E">
        <w:t xml:space="preserve"> is limited to only one </w:t>
      </w:r>
      <w:r w:rsidRPr="00D85509" w:rsidR="006D029B">
        <w:t xml:space="preserve">wired </w:t>
      </w:r>
      <w:r w:rsidRPr="00D85509" w:rsidR="005A648E">
        <w:t>option</w:t>
      </w:r>
      <w:r w:rsidR="006D029B">
        <w:t>, compared to only 22% of those on non-Tribal lands</w:t>
      </w:r>
      <w:r w:rsidRPr="00D85509" w:rsidR="005A648E">
        <w:t>.</w:t>
      </w:r>
    </w:p>
    <w:p w:rsidR="005A648E" w:rsidRPr="00914543" w:rsidP="00914543" w14:paraId="7C0D298C" w14:textId="14ECDF99">
      <w:pPr>
        <w:spacing w:after="120"/>
        <w:jc w:val="center"/>
        <w:rPr>
          <w:b/>
        </w:rPr>
      </w:pPr>
      <w:r w:rsidRPr="00914543">
        <w:rPr>
          <w:b/>
        </w:rPr>
        <w:t>Fig. 3</w:t>
      </w:r>
    </w:p>
    <w:tbl>
      <w:tblPr>
        <w:tblW w:w="10895" w:type="dxa"/>
        <w:jc w:val="center"/>
        <w:tblLook w:val="04A0"/>
      </w:tblPr>
      <w:tblGrid>
        <w:gridCol w:w="1121"/>
        <w:gridCol w:w="931"/>
        <w:gridCol w:w="815"/>
        <w:gridCol w:w="733"/>
        <w:gridCol w:w="779"/>
        <w:gridCol w:w="931"/>
        <w:gridCol w:w="815"/>
        <w:gridCol w:w="733"/>
        <w:gridCol w:w="779"/>
        <w:gridCol w:w="931"/>
        <w:gridCol w:w="815"/>
        <w:gridCol w:w="733"/>
        <w:gridCol w:w="779"/>
      </w:tblGrid>
      <w:tr w14:paraId="49ADE6CD" w14:textId="77777777" w:rsidTr="00D91C91">
        <w:tblPrEx>
          <w:tblW w:w="10895" w:type="dxa"/>
          <w:jc w:val="center"/>
          <w:tblLook w:val="04A0"/>
        </w:tblPrEx>
        <w:trPr>
          <w:trHeight w:val="215"/>
          <w:jc w:val="center"/>
        </w:trPr>
        <w:tc>
          <w:tcPr>
            <w:tcW w:w="10895" w:type="dxa"/>
            <w:gridSpan w:val="13"/>
            <w:tcBorders>
              <w:top w:val="single" w:sz="8" w:space="0" w:color="auto"/>
              <w:left w:val="single" w:sz="8" w:space="0" w:color="auto"/>
              <w:bottom w:val="single" w:sz="4" w:space="0" w:color="auto"/>
              <w:right w:val="single" w:sz="8" w:space="0" w:color="000000"/>
            </w:tcBorders>
            <w:shd w:val="clear" w:color="000000" w:fill="D9D9D9"/>
            <w:noWrap/>
            <w:vAlign w:val="bottom"/>
            <w:hideMark/>
          </w:tcPr>
          <w:p w:rsidR="005A648E" w:rsidRPr="00635141" w:rsidP="005D17A3" w14:paraId="6EB5A5FE" w14:textId="77777777">
            <w:pPr>
              <w:keepNext/>
              <w:keepLines/>
              <w:jc w:val="center"/>
              <w:rPr>
                <w:b/>
                <w:bCs/>
              </w:rPr>
            </w:pPr>
            <w:r w:rsidRPr="00635141">
              <w:rPr>
                <w:b/>
                <w:bCs/>
              </w:rPr>
              <w:t>Deployment of 10/1 Mbps Fixed Service to Non-Tribal and Tribal Housing Units (HUs)</w:t>
            </w:r>
          </w:p>
        </w:tc>
      </w:tr>
      <w:tr w14:paraId="2FE0B7A1" w14:textId="77777777" w:rsidTr="002229AB">
        <w:tblPrEx>
          <w:tblW w:w="10895" w:type="dxa"/>
          <w:jc w:val="center"/>
          <w:tblLook w:val="04A0"/>
        </w:tblPrEx>
        <w:trPr>
          <w:trHeight w:val="215"/>
          <w:jc w:val="center"/>
        </w:trPr>
        <w:tc>
          <w:tcPr>
            <w:tcW w:w="1121" w:type="dxa"/>
            <w:tcBorders>
              <w:top w:val="nil"/>
              <w:left w:val="single" w:sz="8" w:space="0" w:color="auto"/>
              <w:bottom w:val="single" w:sz="4" w:space="0" w:color="auto"/>
              <w:right w:val="nil"/>
            </w:tcBorders>
            <w:shd w:val="clear" w:color="auto" w:fill="auto"/>
            <w:noWrap/>
            <w:vAlign w:val="bottom"/>
            <w:hideMark/>
          </w:tcPr>
          <w:p w:rsidR="005A648E" w:rsidRPr="00635141" w:rsidP="005D17A3" w14:paraId="2F7C251C" w14:textId="77777777">
            <w:pPr>
              <w:keepNext/>
              <w:keepLines/>
            </w:pPr>
            <w:r w:rsidRPr="00635141">
              <w:t> </w:t>
            </w:r>
          </w:p>
        </w:tc>
        <w:tc>
          <w:tcPr>
            <w:tcW w:w="325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A648E" w:rsidRPr="00635141" w:rsidP="005D17A3" w14:paraId="48A86675" w14:textId="77777777">
            <w:pPr>
              <w:keepNext/>
              <w:keepLines/>
              <w:jc w:val="center"/>
              <w:rPr>
                <w:b/>
                <w:bCs/>
              </w:rPr>
            </w:pPr>
            <w:r w:rsidRPr="00635141">
              <w:rPr>
                <w:b/>
                <w:bCs/>
              </w:rPr>
              <w:t>By Any Technology</w:t>
            </w:r>
          </w:p>
        </w:tc>
        <w:tc>
          <w:tcPr>
            <w:tcW w:w="3258" w:type="dxa"/>
            <w:gridSpan w:val="4"/>
            <w:tcBorders>
              <w:top w:val="single" w:sz="4" w:space="0" w:color="auto"/>
              <w:left w:val="nil"/>
              <w:bottom w:val="single" w:sz="4" w:space="0" w:color="auto"/>
              <w:right w:val="single" w:sz="4" w:space="0" w:color="000000"/>
            </w:tcBorders>
            <w:shd w:val="clear" w:color="auto" w:fill="auto"/>
            <w:noWrap/>
            <w:vAlign w:val="bottom"/>
            <w:hideMark/>
          </w:tcPr>
          <w:p w:rsidR="005A648E" w:rsidRPr="00635141" w:rsidP="005D17A3" w14:paraId="7F6F74AF" w14:textId="77777777">
            <w:pPr>
              <w:keepNext/>
              <w:keepLines/>
              <w:jc w:val="center"/>
              <w:rPr>
                <w:b/>
                <w:bCs/>
              </w:rPr>
            </w:pPr>
            <w:r w:rsidRPr="00635141">
              <w:rPr>
                <w:b/>
                <w:bCs/>
              </w:rPr>
              <w:t>By Any Terrestrial Technology</w:t>
            </w:r>
          </w:p>
        </w:tc>
        <w:tc>
          <w:tcPr>
            <w:tcW w:w="3258" w:type="dxa"/>
            <w:gridSpan w:val="4"/>
            <w:tcBorders>
              <w:top w:val="single" w:sz="4" w:space="0" w:color="auto"/>
              <w:left w:val="nil"/>
              <w:bottom w:val="single" w:sz="4" w:space="0" w:color="auto"/>
              <w:right w:val="single" w:sz="8" w:space="0" w:color="000000"/>
            </w:tcBorders>
            <w:shd w:val="clear" w:color="auto" w:fill="auto"/>
            <w:noWrap/>
            <w:vAlign w:val="bottom"/>
            <w:hideMark/>
          </w:tcPr>
          <w:p w:rsidR="005A648E" w:rsidRPr="00635141" w:rsidP="005D17A3" w14:paraId="71DC6A23" w14:textId="77777777">
            <w:pPr>
              <w:keepNext/>
              <w:keepLines/>
              <w:jc w:val="center"/>
              <w:rPr>
                <w:b/>
                <w:bCs/>
              </w:rPr>
            </w:pPr>
            <w:r w:rsidRPr="00635141">
              <w:rPr>
                <w:b/>
                <w:bCs/>
              </w:rPr>
              <w:t xml:space="preserve">By Any Wired Technology </w:t>
            </w:r>
          </w:p>
        </w:tc>
      </w:tr>
      <w:tr w14:paraId="1023FEB9" w14:textId="77777777" w:rsidTr="002229AB">
        <w:tblPrEx>
          <w:tblW w:w="10895" w:type="dxa"/>
          <w:jc w:val="center"/>
          <w:tblLook w:val="04A0"/>
        </w:tblPrEx>
        <w:trPr>
          <w:trHeight w:val="510"/>
          <w:jc w:val="center"/>
        </w:trPr>
        <w:tc>
          <w:tcPr>
            <w:tcW w:w="1121" w:type="dxa"/>
            <w:tcBorders>
              <w:top w:val="single" w:sz="4" w:space="0" w:color="auto"/>
              <w:left w:val="single" w:sz="8" w:space="0" w:color="auto"/>
              <w:bottom w:val="single" w:sz="4" w:space="0" w:color="auto"/>
              <w:right w:val="nil"/>
            </w:tcBorders>
            <w:shd w:val="clear" w:color="auto" w:fill="auto"/>
            <w:vAlign w:val="bottom"/>
            <w:hideMark/>
          </w:tcPr>
          <w:p w:rsidR="005A648E" w:rsidRPr="00635141" w:rsidP="005D17A3" w14:paraId="5AF15927" w14:textId="77777777">
            <w:pPr>
              <w:keepNext/>
              <w:keepLines/>
              <w:rPr>
                <w:b/>
                <w:bCs/>
              </w:rPr>
            </w:pPr>
            <w:r w:rsidRPr="00635141">
              <w:rPr>
                <w:b/>
                <w:bCs/>
              </w:rPr>
              <w:t xml:space="preserve"># </w:t>
            </w:r>
            <w:r w:rsidRPr="00635141">
              <w:rPr>
                <w:b/>
                <w:bCs/>
              </w:rPr>
              <w:br/>
              <w:t>providers</w:t>
            </w:r>
          </w:p>
        </w:tc>
        <w:tc>
          <w:tcPr>
            <w:tcW w:w="931" w:type="dxa"/>
            <w:tcBorders>
              <w:top w:val="single" w:sz="4" w:space="0" w:color="auto"/>
              <w:left w:val="single" w:sz="4" w:space="0" w:color="auto"/>
              <w:bottom w:val="single" w:sz="4" w:space="0" w:color="auto"/>
              <w:right w:val="nil"/>
            </w:tcBorders>
            <w:shd w:val="clear" w:color="auto" w:fill="auto"/>
            <w:vAlign w:val="bottom"/>
            <w:hideMark/>
          </w:tcPr>
          <w:p w:rsidR="005A648E" w:rsidRPr="00635141" w:rsidP="005D17A3" w14:paraId="77F619D0" w14:textId="77777777">
            <w:pPr>
              <w:keepNext/>
              <w:keepLines/>
              <w:jc w:val="center"/>
              <w:rPr>
                <w:b/>
                <w:bCs/>
              </w:rPr>
            </w:pPr>
            <w:r w:rsidRPr="00635141">
              <w:rPr>
                <w:b/>
                <w:bCs/>
              </w:rPr>
              <w:t>Non-tribal HU</w:t>
            </w:r>
            <w:r w:rsidRPr="00635141">
              <w:rPr>
                <w:b/>
                <w:bCs/>
              </w:rPr>
              <w:br/>
              <w:t>(000s)</w:t>
            </w:r>
          </w:p>
        </w:tc>
        <w:tc>
          <w:tcPr>
            <w:tcW w:w="815" w:type="dxa"/>
            <w:tcBorders>
              <w:top w:val="single" w:sz="4" w:space="0" w:color="auto"/>
              <w:left w:val="nil"/>
              <w:bottom w:val="single" w:sz="4" w:space="0" w:color="auto"/>
              <w:right w:val="nil"/>
            </w:tcBorders>
            <w:shd w:val="clear" w:color="auto" w:fill="auto"/>
            <w:vAlign w:val="bottom"/>
            <w:hideMark/>
          </w:tcPr>
          <w:p w:rsidR="005A648E" w:rsidRPr="00635141" w:rsidP="005D17A3" w14:paraId="374928F0" w14:textId="77777777">
            <w:pPr>
              <w:keepNext/>
              <w:keepLines/>
              <w:jc w:val="center"/>
              <w:rPr>
                <w:b/>
                <w:bCs/>
              </w:rPr>
            </w:pPr>
            <w:r w:rsidRPr="00635141">
              <w:rPr>
                <w:b/>
                <w:bCs/>
              </w:rPr>
              <w:t>Tribal HU</w:t>
            </w:r>
            <w:r w:rsidRPr="00635141">
              <w:rPr>
                <w:b/>
                <w:bCs/>
              </w:rPr>
              <w:br/>
              <w:t>(000s)</w:t>
            </w:r>
          </w:p>
        </w:tc>
        <w:tc>
          <w:tcPr>
            <w:tcW w:w="733" w:type="dxa"/>
            <w:tcBorders>
              <w:top w:val="single" w:sz="4" w:space="0" w:color="auto"/>
              <w:left w:val="nil"/>
              <w:bottom w:val="single" w:sz="4" w:space="0" w:color="auto"/>
              <w:right w:val="nil"/>
            </w:tcBorders>
            <w:shd w:val="clear" w:color="auto" w:fill="auto"/>
            <w:vAlign w:val="bottom"/>
            <w:hideMark/>
          </w:tcPr>
          <w:p w:rsidR="005A648E" w:rsidRPr="00635141" w:rsidP="005D17A3" w14:paraId="0CB45A14" w14:textId="77777777">
            <w:pPr>
              <w:keepNext/>
              <w:keepLines/>
              <w:jc w:val="center"/>
              <w:rPr>
                <w:b/>
                <w:bCs/>
                <w:i/>
                <w:iCs/>
              </w:rPr>
            </w:pPr>
            <w:r w:rsidRPr="00635141">
              <w:rPr>
                <w:b/>
                <w:bCs/>
                <w:i/>
                <w:iCs/>
              </w:rPr>
              <w:t>Non-tribal</w:t>
            </w:r>
          </w:p>
        </w:tc>
        <w:tc>
          <w:tcPr>
            <w:tcW w:w="779" w:type="dxa"/>
            <w:tcBorders>
              <w:top w:val="single" w:sz="4" w:space="0" w:color="auto"/>
              <w:left w:val="nil"/>
              <w:bottom w:val="single" w:sz="4" w:space="0" w:color="auto"/>
              <w:right w:val="single" w:sz="4" w:space="0" w:color="auto"/>
            </w:tcBorders>
            <w:shd w:val="clear" w:color="auto" w:fill="auto"/>
            <w:vAlign w:val="bottom"/>
            <w:hideMark/>
          </w:tcPr>
          <w:p w:rsidR="005A648E" w:rsidRPr="00635141" w:rsidP="005D17A3" w14:paraId="7DF07167" w14:textId="77777777">
            <w:pPr>
              <w:keepNext/>
              <w:keepLines/>
              <w:jc w:val="center"/>
              <w:rPr>
                <w:b/>
                <w:bCs/>
                <w:i/>
                <w:iCs/>
              </w:rPr>
            </w:pPr>
            <w:r w:rsidRPr="00635141">
              <w:rPr>
                <w:b/>
                <w:bCs/>
                <w:i/>
                <w:iCs/>
              </w:rPr>
              <w:t>Tribal</w:t>
            </w:r>
          </w:p>
        </w:tc>
        <w:tc>
          <w:tcPr>
            <w:tcW w:w="931" w:type="dxa"/>
            <w:tcBorders>
              <w:top w:val="single" w:sz="4" w:space="0" w:color="auto"/>
              <w:left w:val="nil"/>
              <w:bottom w:val="single" w:sz="4" w:space="0" w:color="auto"/>
              <w:right w:val="nil"/>
            </w:tcBorders>
            <w:shd w:val="clear" w:color="auto" w:fill="auto"/>
            <w:vAlign w:val="bottom"/>
            <w:hideMark/>
          </w:tcPr>
          <w:p w:rsidR="005A648E" w:rsidRPr="00635141" w:rsidP="005D17A3" w14:paraId="0C3B68D8" w14:textId="77777777">
            <w:pPr>
              <w:keepNext/>
              <w:keepLines/>
              <w:jc w:val="center"/>
              <w:rPr>
                <w:b/>
                <w:bCs/>
              </w:rPr>
            </w:pPr>
            <w:r w:rsidRPr="00635141">
              <w:rPr>
                <w:b/>
                <w:bCs/>
              </w:rPr>
              <w:t>Non-tribal HU</w:t>
            </w:r>
            <w:r w:rsidRPr="00635141">
              <w:rPr>
                <w:b/>
                <w:bCs/>
              </w:rPr>
              <w:br/>
              <w:t>(000s)</w:t>
            </w:r>
          </w:p>
        </w:tc>
        <w:tc>
          <w:tcPr>
            <w:tcW w:w="815" w:type="dxa"/>
            <w:tcBorders>
              <w:top w:val="single" w:sz="4" w:space="0" w:color="auto"/>
              <w:left w:val="nil"/>
              <w:bottom w:val="single" w:sz="4" w:space="0" w:color="auto"/>
              <w:right w:val="nil"/>
            </w:tcBorders>
            <w:shd w:val="clear" w:color="auto" w:fill="auto"/>
            <w:vAlign w:val="bottom"/>
            <w:hideMark/>
          </w:tcPr>
          <w:p w:rsidR="005A648E" w:rsidRPr="00635141" w:rsidP="005D17A3" w14:paraId="5E31D3A6" w14:textId="77777777">
            <w:pPr>
              <w:keepNext/>
              <w:keepLines/>
              <w:jc w:val="center"/>
              <w:rPr>
                <w:b/>
                <w:bCs/>
              </w:rPr>
            </w:pPr>
            <w:r w:rsidRPr="00635141">
              <w:rPr>
                <w:b/>
                <w:bCs/>
              </w:rPr>
              <w:t>Tribal HU</w:t>
            </w:r>
            <w:r w:rsidRPr="00635141">
              <w:rPr>
                <w:b/>
                <w:bCs/>
              </w:rPr>
              <w:br/>
              <w:t>(000s)</w:t>
            </w:r>
          </w:p>
        </w:tc>
        <w:tc>
          <w:tcPr>
            <w:tcW w:w="733" w:type="dxa"/>
            <w:tcBorders>
              <w:top w:val="single" w:sz="4" w:space="0" w:color="auto"/>
              <w:left w:val="nil"/>
              <w:bottom w:val="single" w:sz="4" w:space="0" w:color="auto"/>
              <w:right w:val="nil"/>
            </w:tcBorders>
            <w:shd w:val="clear" w:color="auto" w:fill="auto"/>
            <w:vAlign w:val="bottom"/>
            <w:hideMark/>
          </w:tcPr>
          <w:p w:rsidR="005A648E" w:rsidRPr="00635141" w:rsidP="005D17A3" w14:paraId="38917573" w14:textId="77777777">
            <w:pPr>
              <w:keepNext/>
              <w:keepLines/>
              <w:jc w:val="center"/>
              <w:rPr>
                <w:b/>
                <w:bCs/>
                <w:i/>
                <w:iCs/>
              </w:rPr>
            </w:pPr>
            <w:r w:rsidRPr="00635141">
              <w:rPr>
                <w:b/>
                <w:bCs/>
                <w:i/>
                <w:iCs/>
              </w:rPr>
              <w:t>Non-tribal</w:t>
            </w:r>
          </w:p>
        </w:tc>
        <w:tc>
          <w:tcPr>
            <w:tcW w:w="779" w:type="dxa"/>
            <w:tcBorders>
              <w:top w:val="single" w:sz="4" w:space="0" w:color="auto"/>
              <w:left w:val="nil"/>
              <w:bottom w:val="single" w:sz="4" w:space="0" w:color="auto"/>
              <w:right w:val="single" w:sz="4" w:space="0" w:color="auto"/>
            </w:tcBorders>
            <w:shd w:val="clear" w:color="auto" w:fill="auto"/>
            <w:vAlign w:val="bottom"/>
            <w:hideMark/>
          </w:tcPr>
          <w:p w:rsidR="005A648E" w:rsidRPr="00635141" w:rsidP="005D17A3" w14:paraId="3F539711" w14:textId="77777777">
            <w:pPr>
              <w:keepNext/>
              <w:keepLines/>
              <w:jc w:val="center"/>
              <w:rPr>
                <w:b/>
                <w:bCs/>
                <w:i/>
                <w:iCs/>
              </w:rPr>
            </w:pPr>
            <w:r w:rsidRPr="00635141">
              <w:rPr>
                <w:b/>
                <w:bCs/>
                <w:i/>
                <w:iCs/>
              </w:rPr>
              <w:t>Tribal</w:t>
            </w:r>
          </w:p>
        </w:tc>
        <w:tc>
          <w:tcPr>
            <w:tcW w:w="931" w:type="dxa"/>
            <w:tcBorders>
              <w:top w:val="single" w:sz="4" w:space="0" w:color="auto"/>
              <w:left w:val="nil"/>
              <w:bottom w:val="single" w:sz="4" w:space="0" w:color="auto"/>
              <w:right w:val="nil"/>
            </w:tcBorders>
            <w:shd w:val="clear" w:color="auto" w:fill="auto"/>
            <w:vAlign w:val="bottom"/>
            <w:hideMark/>
          </w:tcPr>
          <w:p w:rsidR="005A648E" w:rsidRPr="00635141" w:rsidP="005D17A3" w14:paraId="04D73C4C" w14:textId="77777777">
            <w:pPr>
              <w:keepNext/>
              <w:keepLines/>
              <w:jc w:val="center"/>
              <w:rPr>
                <w:b/>
                <w:bCs/>
              </w:rPr>
            </w:pPr>
            <w:r w:rsidRPr="00635141">
              <w:rPr>
                <w:b/>
                <w:bCs/>
              </w:rPr>
              <w:t>Non-tribal HU</w:t>
            </w:r>
            <w:r w:rsidRPr="00635141">
              <w:rPr>
                <w:b/>
                <w:bCs/>
              </w:rPr>
              <w:br/>
              <w:t>(000s)</w:t>
            </w:r>
          </w:p>
        </w:tc>
        <w:tc>
          <w:tcPr>
            <w:tcW w:w="815" w:type="dxa"/>
            <w:tcBorders>
              <w:top w:val="single" w:sz="4" w:space="0" w:color="auto"/>
              <w:left w:val="nil"/>
              <w:bottom w:val="single" w:sz="4" w:space="0" w:color="auto"/>
              <w:right w:val="nil"/>
            </w:tcBorders>
            <w:shd w:val="clear" w:color="auto" w:fill="auto"/>
            <w:vAlign w:val="bottom"/>
            <w:hideMark/>
          </w:tcPr>
          <w:p w:rsidR="005A648E" w:rsidRPr="00635141" w:rsidP="005D17A3" w14:paraId="5030F046" w14:textId="77777777">
            <w:pPr>
              <w:keepNext/>
              <w:keepLines/>
              <w:jc w:val="center"/>
              <w:rPr>
                <w:b/>
                <w:bCs/>
              </w:rPr>
            </w:pPr>
            <w:r w:rsidRPr="00635141">
              <w:rPr>
                <w:b/>
                <w:bCs/>
              </w:rPr>
              <w:t>Tribal HU</w:t>
            </w:r>
            <w:r w:rsidRPr="00635141">
              <w:rPr>
                <w:b/>
                <w:bCs/>
              </w:rPr>
              <w:br/>
              <w:t>(000s)</w:t>
            </w:r>
          </w:p>
        </w:tc>
        <w:tc>
          <w:tcPr>
            <w:tcW w:w="733" w:type="dxa"/>
            <w:tcBorders>
              <w:top w:val="single" w:sz="4" w:space="0" w:color="auto"/>
              <w:left w:val="nil"/>
              <w:bottom w:val="single" w:sz="4" w:space="0" w:color="auto"/>
              <w:right w:val="nil"/>
            </w:tcBorders>
            <w:shd w:val="clear" w:color="auto" w:fill="auto"/>
            <w:vAlign w:val="bottom"/>
            <w:hideMark/>
          </w:tcPr>
          <w:p w:rsidR="005A648E" w:rsidRPr="00635141" w:rsidP="005D17A3" w14:paraId="007E7DE8" w14:textId="77777777">
            <w:pPr>
              <w:keepNext/>
              <w:keepLines/>
              <w:jc w:val="center"/>
              <w:rPr>
                <w:b/>
                <w:bCs/>
                <w:i/>
                <w:iCs/>
              </w:rPr>
            </w:pPr>
            <w:r w:rsidRPr="00635141">
              <w:rPr>
                <w:b/>
                <w:bCs/>
                <w:i/>
                <w:iCs/>
              </w:rPr>
              <w:t>Non-tribal</w:t>
            </w:r>
          </w:p>
        </w:tc>
        <w:tc>
          <w:tcPr>
            <w:tcW w:w="779" w:type="dxa"/>
            <w:tcBorders>
              <w:top w:val="single" w:sz="4" w:space="0" w:color="auto"/>
              <w:left w:val="nil"/>
              <w:bottom w:val="single" w:sz="4" w:space="0" w:color="auto"/>
              <w:right w:val="single" w:sz="8" w:space="0" w:color="auto"/>
            </w:tcBorders>
            <w:shd w:val="clear" w:color="auto" w:fill="auto"/>
            <w:vAlign w:val="bottom"/>
            <w:hideMark/>
          </w:tcPr>
          <w:p w:rsidR="005A648E" w:rsidRPr="00635141" w:rsidP="005D17A3" w14:paraId="0FB0E3E8" w14:textId="77777777">
            <w:pPr>
              <w:keepNext/>
              <w:keepLines/>
              <w:jc w:val="center"/>
              <w:rPr>
                <w:b/>
                <w:bCs/>
                <w:i/>
                <w:iCs/>
              </w:rPr>
            </w:pPr>
            <w:r w:rsidRPr="00635141">
              <w:rPr>
                <w:b/>
                <w:bCs/>
                <w:i/>
                <w:iCs/>
              </w:rPr>
              <w:t>Tribal</w:t>
            </w:r>
          </w:p>
        </w:tc>
      </w:tr>
      <w:tr w14:paraId="46C1F77F" w14:textId="77777777" w:rsidTr="002229AB">
        <w:tblPrEx>
          <w:tblW w:w="10895" w:type="dxa"/>
          <w:jc w:val="center"/>
          <w:tblLook w:val="04A0"/>
        </w:tblPrEx>
        <w:trPr>
          <w:trHeight w:val="215"/>
          <w:jc w:val="center"/>
        </w:trPr>
        <w:tc>
          <w:tcPr>
            <w:tcW w:w="1121" w:type="dxa"/>
            <w:tcBorders>
              <w:top w:val="single" w:sz="4" w:space="0" w:color="auto"/>
              <w:left w:val="single" w:sz="8" w:space="0" w:color="auto"/>
              <w:bottom w:val="nil"/>
              <w:right w:val="nil"/>
            </w:tcBorders>
            <w:shd w:val="clear" w:color="auto" w:fill="auto"/>
            <w:noWrap/>
            <w:vAlign w:val="bottom"/>
            <w:hideMark/>
          </w:tcPr>
          <w:p w:rsidR="005A648E" w:rsidRPr="00635141" w:rsidP="005D17A3" w14:paraId="4FEFAA1A" w14:textId="77777777">
            <w:pPr>
              <w:keepNext/>
              <w:keepLines/>
              <w:jc w:val="right"/>
            </w:pPr>
            <w:r w:rsidRPr="00635141">
              <w:t>0</w:t>
            </w:r>
          </w:p>
        </w:tc>
        <w:tc>
          <w:tcPr>
            <w:tcW w:w="931" w:type="dxa"/>
            <w:tcBorders>
              <w:top w:val="single" w:sz="4" w:space="0" w:color="auto"/>
              <w:left w:val="single" w:sz="4" w:space="0" w:color="auto"/>
              <w:bottom w:val="nil"/>
              <w:right w:val="nil"/>
            </w:tcBorders>
            <w:shd w:val="clear" w:color="auto" w:fill="auto"/>
            <w:noWrap/>
            <w:vAlign w:val="bottom"/>
            <w:hideMark/>
          </w:tcPr>
          <w:p w:rsidR="005A648E" w:rsidRPr="00635141" w:rsidP="005D17A3" w14:paraId="385D940E" w14:textId="77777777">
            <w:pPr>
              <w:keepNext/>
              <w:keepLines/>
              <w:jc w:val="center"/>
            </w:pPr>
            <w:r w:rsidRPr="00635141">
              <w:t>21</w:t>
            </w:r>
          </w:p>
        </w:tc>
        <w:tc>
          <w:tcPr>
            <w:tcW w:w="815" w:type="dxa"/>
            <w:tcBorders>
              <w:top w:val="single" w:sz="4" w:space="0" w:color="auto"/>
              <w:left w:val="nil"/>
              <w:bottom w:val="nil"/>
              <w:right w:val="nil"/>
            </w:tcBorders>
            <w:shd w:val="clear" w:color="auto" w:fill="auto"/>
            <w:noWrap/>
            <w:vAlign w:val="bottom"/>
            <w:hideMark/>
          </w:tcPr>
          <w:p w:rsidR="005A648E" w:rsidRPr="00635141" w:rsidP="005D17A3" w14:paraId="7905AEC1" w14:textId="77777777">
            <w:pPr>
              <w:keepNext/>
              <w:keepLines/>
              <w:jc w:val="center"/>
            </w:pPr>
            <w:r w:rsidRPr="00635141">
              <w:t>26</w:t>
            </w:r>
          </w:p>
        </w:tc>
        <w:tc>
          <w:tcPr>
            <w:tcW w:w="733" w:type="dxa"/>
            <w:tcBorders>
              <w:top w:val="single" w:sz="4" w:space="0" w:color="auto"/>
              <w:left w:val="nil"/>
              <w:bottom w:val="nil"/>
              <w:right w:val="nil"/>
            </w:tcBorders>
            <w:shd w:val="clear" w:color="auto" w:fill="auto"/>
            <w:noWrap/>
            <w:vAlign w:val="bottom"/>
            <w:hideMark/>
          </w:tcPr>
          <w:p w:rsidR="005A648E" w:rsidRPr="00635141" w:rsidP="005D17A3" w14:paraId="6A0E21DD" w14:textId="77777777">
            <w:pPr>
              <w:keepNext/>
              <w:keepLines/>
              <w:jc w:val="center"/>
            </w:pPr>
            <w:r w:rsidRPr="00635141">
              <w:t>0%</w:t>
            </w:r>
          </w:p>
        </w:tc>
        <w:tc>
          <w:tcPr>
            <w:tcW w:w="779" w:type="dxa"/>
            <w:tcBorders>
              <w:top w:val="single" w:sz="4" w:space="0" w:color="auto"/>
              <w:left w:val="nil"/>
              <w:bottom w:val="nil"/>
              <w:right w:val="single" w:sz="4" w:space="0" w:color="auto"/>
            </w:tcBorders>
            <w:shd w:val="clear" w:color="auto" w:fill="auto"/>
            <w:noWrap/>
            <w:vAlign w:val="bottom"/>
            <w:hideMark/>
          </w:tcPr>
          <w:p w:rsidR="005A648E" w:rsidRPr="00635141" w:rsidP="005D17A3" w14:paraId="3B360FF3" w14:textId="77777777">
            <w:pPr>
              <w:keepNext/>
              <w:keepLines/>
              <w:jc w:val="center"/>
            </w:pPr>
            <w:r w:rsidRPr="00635141">
              <w:t>2%</w:t>
            </w:r>
          </w:p>
        </w:tc>
        <w:tc>
          <w:tcPr>
            <w:tcW w:w="931" w:type="dxa"/>
            <w:tcBorders>
              <w:top w:val="single" w:sz="4" w:space="0" w:color="auto"/>
              <w:left w:val="nil"/>
              <w:bottom w:val="nil"/>
              <w:right w:val="nil"/>
            </w:tcBorders>
            <w:shd w:val="clear" w:color="auto" w:fill="auto"/>
            <w:noWrap/>
            <w:vAlign w:val="bottom"/>
            <w:hideMark/>
          </w:tcPr>
          <w:p w:rsidR="005A648E" w:rsidRPr="00635141" w:rsidP="005D17A3" w14:paraId="240EB000" w14:textId="77777777">
            <w:pPr>
              <w:keepNext/>
              <w:keepLines/>
              <w:jc w:val="center"/>
            </w:pPr>
            <w:r w:rsidRPr="00635141">
              <w:t>4,411</w:t>
            </w:r>
          </w:p>
        </w:tc>
        <w:tc>
          <w:tcPr>
            <w:tcW w:w="815" w:type="dxa"/>
            <w:tcBorders>
              <w:top w:val="single" w:sz="4" w:space="0" w:color="auto"/>
              <w:left w:val="nil"/>
              <w:bottom w:val="nil"/>
              <w:right w:val="nil"/>
            </w:tcBorders>
            <w:shd w:val="clear" w:color="auto" w:fill="auto"/>
            <w:noWrap/>
            <w:vAlign w:val="bottom"/>
            <w:hideMark/>
          </w:tcPr>
          <w:p w:rsidR="005A648E" w:rsidRPr="00635141" w:rsidP="005D17A3" w14:paraId="6282B7DB" w14:textId="77777777">
            <w:pPr>
              <w:keepNext/>
              <w:keepLines/>
              <w:jc w:val="center"/>
            </w:pPr>
            <w:r w:rsidRPr="00635141">
              <w:t>287</w:t>
            </w:r>
          </w:p>
        </w:tc>
        <w:tc>
          <w:tcPr>
            <w:tcW w:w="733" w:type="dxa"/>
            <w:tcBorders>
              <w:top w:val="single" w:sz="4" w:space="0" w:color="auto"/>
              <w:left w:val="nil"/>
              <w:bottom w:val="nil"/>
              <w:right w:val="nil"/>
            </w:tcBorders>
            <w:shd w:val="clear" w:color="auto" w:fill="auto"/>
            <w:noWrap/>
            <w:vAlign w:val="bottom"/>
            <w:hideMark/>
          </w:tcPr>
          <w:p w:rsidR="005A648E" w:rsidRPr="00635141" w:rsidP="005D17A3" w14:paraId="4BD42DD1" w14:textId="77777777">
            <w:pPr>
              <w:keepNext/>
              <w:keepLines/>
              <w:jc w:val="center"/>
            </w:pPr>
            <w:r w:rsidRPr="00635141">
              <w:t>3%</w:t>
            </w:r>
          </w:p>
        </w:tc>
        <w:tc>
          <w:tcPr>
            <w:tcW w:w="779" w:type="dxa"/>
            <w:tcBorders>
              <w:top w:val="single" w:sz="4" w:space="0" w:color="auto"/>
              <w:left w:val="nil"/>
              <w:bottom w:val="nil"/>
              <w:right w:val="single" w:sz="4" w:space="0" w:color="auto"/>
            </w:tcBorders>
            <w:shd w:val="clear" w:color="auto" w:fill="auto"/>
            <w:noWrap/>
            <w:vAlign w:val="bottom"/>
            <w:hideMark/>
          </w:tcPr>
          <w:p w:rsidR="005A648E" w:rsidRPr="00635141" w:rsidP="005D17A3" w14:paraId="25EE7BED" w14:textId="77777777">
            <w:pPr>
              <w:keepNext/>
              <w:keepLines/>
              <w:jc w:val="center"/>
            </w:pPr>
            <w:r w:rsidRPr="00635141">
              <w:t>16%</w:t>
            </w:r>
          </w:p>
        </w:tc>
        <w:tc>
          <w:tcPr>
            <w:tcW w:w="931" w:type="dxa"/>
            <w:tcBorders>
              <w:top w:val="single" w:sz="4" w:space="0" w:color="auto"/>
              <w:left w:val="nil"/>
              <w:bottom w:val="nil"/>
              <w:right w:val="nil"/>
            </w:tcBorders>
            <w:shd w:val="clear" w:color="auto" w:fill="auto"/>
            <w:noWrap/>
            <w:vAlign w:val="bottom"/>
            <w:hideMark/>
          </w:tcPr>
          <w:p w:rsidR="005A648E" w:rsidRPr="00635141" w:rsidP="005D17A3" w14:paraId="4914F423" w14:textId="77777777">
            <w:pPr>
              <w:keepNext/>
              <w:keepLines/>
              <w:jc w:val="center"/>
            </w:pPr>
            <w:r w:rsidRPr="00635141">
              <w:t>7,685</w:t>
            </w:r>
          </w:p>
        </w:tc>
        <w:tc>
          <w:tcPr>
            <w:tcW w:w="815" w:type="dxa"/>
            <w:tcBorders>
              <w:top w:val="single" w:sz="4" w:space="0" w:color="auto"/>
              <w:left w:val="nil"/>
              <w:bottom w:val="nil"/>
              <w:right w:val="nil"/>
            </w:tcBorders>
            <w:shd w:val="clear" w:color="auto" w:fill="auto"/>
            <w:noWrap/>
            <w:vAlign w:val="bottom"/>
            <w:hideMark/>
          </w:tcPr>
          <w:p w:rsidR="005A648E" w:rsidRPr="00635141" w:rsidP="005D17A3" w14:paraId="43E6AFAB" w14:textId="77777777">
            <w:pPr>
              <w:keepNext/>
              <w:keepLines/>
              <w:jc w:val="center"/>
            </w:pPr>
            <w:r w:rsidRPr="00635141">
              <w:t>431</w:t>
            </w:r>
          </w:p>
        </w:tc>
        <w:tc>
          <w:tcPr>
            <w:tcW w:w="733" w:type="dxa"/>
            <w:tcBorders>
              <w:top w:val="single" w:sz="4" w:space="0" w:color="auto"/>
              <w:left w:val="nil"/>
              <w:bottom w:val="nil"/>
              <w:right w:val="nil"/>
            </w:tcBorders>
            <w:shd w:val="clear" w:color="auto" w:fill="auto"/>
            <w:noWrap/>
            <w:vAlign w:val="bottom"/>
            <w:hideMark/>
          </w:tcPr>
          <w:p w:rsidR="005A648E" w:rsidRPr="00635141" w:rsidP="005D17A3" w14:paraId="03EDFB81" w14:textId="77777777">
            <w:pPr>
              <w:keepNext/>
              <w:keepLines/>
              <w:jc w:val="center"/>
            </w:pPr>
            <w:r w:rsidRPr="00635141">
              <w:t>6%</w:t>
            </w:r>
          </w:p>
        </w:tc>
        <w:tc>
          <w:tcPr>
            <w:tcW w:w="779" w:type="dxa"/>
            <w:tcBorders>
              <w:top w:val="single" w:sz="4" w:space="0" w:color="auto"/>
              <w:left w:val="nil"/>
              <w:bottom w:val="nil"/>
              <w:right w:val="single" w:sz="8" w:space="0" w:color="auto"/>
            </w:tcBorders>
            <w:shd w:val="clear" w:color="auto" w:fill="auto"/>
            <w:noWrap/>
            <w:vAlign w:val="bottom"/>
            <w:hideMark/>
          </w:tcPr>
          <w:p w:rsidR="005A648E" w:rsidRPr="00635141" w:rsidP="005D17A3" w14:paraId="5BD6492C" w14:textId="77777777">
            <w:pPr>
              <w:keepNext/>
              <w:keepLines/>
              <w:jc w:val="center"/>
            </w:pPr>
            <w:r w:rsidRPr="00635141">
              <w:t>25%</w:t>
            </w:r>
          </w:p>
        </w:tc>
      </w:tr>
      <w:tr w14:paraId="626478A5" w14:textId="77777777" w:rsidTr="002229AB">
        <w:tblPrEx>
          <w:tblW w:w="10895" w:type="dxa"/>
          <w:jc w:val="center"/>
          <w:tblLook w:val="04A0"/>
        </w:tblPrEx>
        <w:trPr>
          <w:trHeight w:val="215"/>
          <w:jc w:val="center"/>
        </w:trPr>
        <w:tc>
          <w:tcPr>
            <w:tcW w:w="1121" w:type="dxa"/>
            <w:tcBorders>
              <w:top w:val="nil"/>
              <w:left w:val="single" w:sz="8" w:space="0" w:color="auto"/>
              <w:bottom w:val="nil"/>
              <w:right w:val="nil"/>
            </w:tcBorders>
            <w:shd w:val="clear" w:color="auto" w:fill="auto"/>
            <w:noWrap/>
            <w:vAlign w:val="bottom"/>
            <w:hideMark/>
          </w:tcPr>
          <w:p w:rsidR="005A648E" w:rsidRPr="00635141" w:rsidP="005D17A3" w14:paraId="1A40AD2A" w14:textId="77777777">
            <w:pPr>
              <w:keepNext/>
              <w:keepLines/>
              <w:jc w:val="right"/>
            </w:pPr>
            <w:r w:rsidRPr="00635141">
              <w:t>1</w:t>
            </w:r>
          </w:p>
        </w:tc>
        <w:tc>
          <w:tcPr>
            <w:tcW w:w="931" w:type="dxa"/>
            <w:tcBorders>
              <w:top w:val="nil"/>
              <w:left w:val="single" w:sz="4" w:space="0" w:color="auto"/>
              <w:bottom w:val="nil"/>
              <w:right w:val="nil"/>
            </w:tcBorders>
            <w:shd w:val="clear" w:color="auto" w:fill="auto"/>
            <w:noWrap/>
            <w:vAlign w:val="bottom"/>
            <w:hideMark/>
          </w:tcPr>
          <w:p w:rsidR="005A648E" w:rsidRPr="00635141" w:rsidP="005D17A3" w14:paraId="3E3FD88F" w14:textId="77777777">
            <w:pPr>
              <w:keepNext/>
              <w:keepLines/>
              <w:jc w:val="center"/>
            </w:pPr>
            <w:r w:rsidRPr="00635141">
              <w:t>745</w:t>
            </w:r>
          </w:p>
        </w:tc>
        <w:tc>
          <w:tcPr>
            <w:tcW w:w="815" w:type="dxa"/>
            <w:tcBorders>
              <w:top w:val="nil"/>
              <w:left w:val="nil"/>
              <w:bottom w:val="nil"/>
              <w:right w:val="nil"/>
            </w:tcBorders>
            <w:shd w:val="clear" w:color="auto" w:fill="auto"/>
            <w:noWrap/>
            <w:vAlign w:val="bottom"/>
            <w:hideMark/>
          </w:tcPr>
          <w:p w:rsidR="005A648E" w:rsidRPr="00635141" w:rsidP="005D17A3" w14:paraId="3263B78C" w14:textId="77777777">
            <w:pPr>
              <w:keepNext/>
              <w:keepLines/>
              <w:jc w:val="center"/>
            </w:pPr>
            <w:r w:rsidRPr="00635141">
              <w:t>99</w:t>
            </w:r>
          </w:p>
        </w:tc>
        <w:tc>
          <w:tcPr>
            <w:tcW w:w="733" w:type="dxa"/>
            <w:tcBorders>
              <w:top w:val="nil"/>
              <w:left w:val="nil"/>
              <w:bottom w:val="nil"/>
              <w:right w:val="nil"/>
            </w:tcBorders>
            <w:shd w:val="clear" w:color="auto" w:fill="auto"/>
            <w:noWrap/>
            <w:vAlign w:val="bottom"/>
            <w:hideMark/>
          </w:tcPr>
          <w:p w:rsidR="005A648E" w:rsidRPr="00635141" w:rsidP="005D17A3" w14:paraId="36854848" w14:textId="77777777">
            <w:pPr>
              <w:keepNext/>
              <w:keepLines/>
              <w:jc w:val="center"/>
            </w:pPr>
            <w:r w:rsidRPr="00635141">
              <w:t>1%</w:t>
            </w:r>
          </w:p>
        </w:tc>
        <w:tc>
          <w:tcPr>
            <w:tcW w:w="779" w:type="dxa"/>
            <w:tcBorders>
              <w:top w:val="nil"/>
              <w:left w:val="nil"/>
              <w:bottom w:val="nil"/>
              <w:right w:val="single" w:sz="4" w:space="0" w:color="auto"/>
            </w:tcBorders>
            <w:shd w:val="clear" w:color="auto" w:fill="auto"/>
            <w:noWrap/>
            <w:vAlign w:val="bottom"/>
            <w:hideMark/>
          </w:tcPr>
          <w:p w:rsidR="005A648E" w:rsidRPr="00635141" w:rsidP="005D17A3" w14:paraId="3232C481" w14:textId="77777777">
            <w:pPr>
              <w:keepNext/>
              <w:keepLines/>
              <w:jc w:val="center"/>
            </w:pPr>
            <w:r w:rsidRPr="00635141">
              <w:t>5%</w:t>
            </w:r>
          </w:p>
        </w:tc>
        <w:tc>
          <w:tcPr>
            <w:tcW w:w="931" w:type="dxa"/>
            <w:tcBorders>
              <w:top w:val="nil"/>
              <w:left w:val="nil"/>
              <w:bottom w:val="nil"/>
              <w:right w:val="nil"/>
            </w:tcBorders>
            <w:shd w:val="clear" w:color="auto" w:fill="auto"/>
            <w:noWrap/>
            <w:vAlign w:val="bottom"/>
            <w:hideMark/>
          </w:tcPr>
          <w:p w:rsidR="005A648E" w:rsidRPr="00635141" w:rsidP="005D17A3" w14:paraId="60A9543D" w14:textId="77777777">
            <w:pPr>
              <w:keepNext/>
              <w:keepLines/>
              <w:jc w:val="center"/>
            </w:pPr>
            <w:r w:rsidRPr="00635141">
              <w:t>23,829</w:t>
            </w:r>
          </w:p>
        </w:tc>
        <w:tc>
          <w:tcPr>
            <w:tcW w:w="815" w:type="dxa"/>
            <w:tcBorders>
              <w:top w:val="nil"/>
              <w:left w:val="nil"/>
              <w:bottom w:val="nil"/>
              <w:right w:val="nil"/>
            </w:tcBorders>
            <w:shd w:val="clear" w:color="auto" w:fill="auto"/>
            <w:noWrap/>
            <w:vAlign w:val="bottom"/>
            <w:hideMark/>
          </w:tcPr>
          <w:p w:rsidR="005A648E" w:rsidRPr="00635141" w:rsidP="005D17A3" w14:paraId="5B119E05" w14:textId="77777777">
            <w:pPr>
              <w:keepNext/>
              <w:keepLines/>
              <w:jc w:val="center"/>
            </w:pPr>
            <w:r w:rsidRPr="00635141">
              <w:t>591</w:t>
            </w:r>
          </w:p>
        </w:tc>
        <w:tc>
          <w:tcPr>
            <w:tcW w:w="733" w:type="dxa"/>
            <w:tcBorders>
              <w:top w:val="nil"/>
              <w:left w:val="nil"/>
              <w:bottom w:val="nil"/>
              <w:right w:val="nil"/>
            </w:tcBorders>
            <w:shd w:val="clear" w:color="auto" w:fill="auto"/>
            <w:noWrap/>
            <w:vAlign w:val="bottom"/>
            <w:hideMark/>
          </w:tcPr>
          <w:p w:rsidR="005A648E" w:rsidRPr="00635141" w:rsidP="005D17A3" w14:paraId="4DE81B4E" w14:textId="77777777">
            <w:pPr>
              <w:keepNext/>
              <w:keepLines/>
              <w:jc w:val="center"/>
            </w:pPr>
            <w:r w:rsidRPr="00635141">
              <w:t>17%</w:t>
            </w:r>
          </w:p>
        </w:tc>
        <w:tc>
          <w:tcPr>
            <w:tcW w:w="779" w:type="dxa"/>
            <w:tcBorders>
              <w:top w:val="nil"/>
              <w:left w:val="nil"/>
              <w:bottom w:val="nil"/>
              <w:right w:val="single" w:sz="4" w:space="0" w:color="auto"/>
            </w:tcBorders>
            <w:shd w:val="clear" w:color="auto" w:fill="auto"/>
            <w:noWrap/>
            <w:vAlign w:val="bottom"/>
            <w:hideMark/>
          </w:tcPr>
          <w:p w:rsidR="005A648E" w:rsidRPr="00635141" w:rsidP="005D17A3" w14:paraId="5C6C51FB" w14:textId="77777777">
            <w:pPr>
              <w:keepNext/>
              <w:keepLines/>
              <w:jc w:val="center"/>
            </w:pPr>
            <w:r w:rsidRPr="00635141">
              <w:t>34%</w:t>
            </w:r>
          </w:p>
        </w:tc>
        <w:tc>
          <w:tcPr>
            <w:tcW w:w="931" w:type="dxa"/>
            <w:tcBorders>
              <w:top w:val="nil"/>
              <w:left w:val="nil"/>
              <w:bottom w:val="nil"/>
              <w:right w:val="nil"/>
            </w:tcBorders>
            <w:shd w:val="clear" w:color="auto" w:fill="auto"/>
            <w:noWrap/>
            <w:vAlign w:val="bottom"/>
            <w:hideMark/>
          </w:tcPr>
          <w:p w:rsidR="005A648E" w:rsidRPr="00635141" w:rsidP="005D17A3" w14:paraId="4291F16F" w14:textId="77777777">
            <w:pPr>
              <w:keepNext/>
              <w:keepLines/>
              <w:jc w:val="center"/>
            </w:pPr>
            <w:r w:rsidRPr="00635141">
              <w:t>30,989</w:t>
            </w:r>
          </w:p>
        </w:tc>
        <w:tc>
          <w:tcPr>
            <w:tcW w:w="815" w:type="dxa"/>
            <w:tcBorders>
              <w:top w:val="nil"/>
              <w:left w:val="nil"/>
              <w:bottom w:val="nil"/>
              <w:right w:val="nil"/>
            </w:tcBorders>
            <w:shd w:val="clear" w:color="auto" w:fill="auto"/>
            <w:noWrap/>
            <w:vAlign w:val="bottom"/>
            <w:hideMark/>
          </w:tcPr>
          <w:p w:rsidR="005A648E" w:rsidRPr="00635141" w:rsidP="005D17A3" w14:paraId="73E814B3" w14:textId="77777777">
            <w:pPr>
              <w:keepNext/>
              <w:keepLines/>
              <w:jc w:val="center"/>
            </w:pPr>
            <w:r w:rsidRPr="00635141">
              <w:t>797</w:t>
            </w:r>
          </w:p>
        </w:tc>
        <w:tc>
          <w:tcPr>
            <w:tcW w:w="733" w:type="dxa"/>
            <w:tcBorders>
              <w:top w:val="nil"/>
              <w:left w:val="nil"/>
              <w:bottom w:val="nil"/>
              <w:right w:val="nil"/>
            </w:tcBorders>
            <w:shd w:val="clear" w:color="auto" w:fill="auto"/>
            <w:noWrap/>
            <w:vAlign w:val="bottom"/>
            <w:hideMark/>
          </w:tcPr>
          <w:p w:rsidR="005A648E" w:rsidRPr="00635141" w:rsidP="005D17A3" w14:paraId="296F0E04" w14:textId="77777777">
            <w:pPr>
              <w:keepNext/>
              <w:keepLines/>
              <w:jc w:val="center"/>
            </w:pPr>
            <w:r w:rsidRPr="00635141">
              <w:t>22%</w:t>
            </w:r>
          </w:p>
        </w:tc>
        <w:tc>
          <w:tcPr>
            <w:tcW w:w="779" w:type="dxa"/>
            <w:tcBorders>
              <w:top w:val="nil"/>
              <w:left w:val="nil"/>
              <w:bottom w:val="nil"/>
              <w:right w:val="single" w:sz="8" w:space="0" w:color="auto"/>
            </w:tcBorders>
            <w:shd w:val="clear" w:color="auto" w:fill="auto"/>
            <w:noWrap/>
            <w:vAlign w:val="bottom"/>
            <w:hideMark/>
          </w:tcPr>
          <w:p w:rsidR="005A648E" w:rsidRPr="00635141" w:rsidP="005D17A3" w14:paraId="24797404" w14:textId="77777777">
            <w:pPr>
              <w:keepNext/>
              <w:keepLines/>
              <w:jc w:val="center"/>
            </w:pPr>
            <w:r w:rsidRPr="00635141">
              <w:t>45%</w:t>
            </w:r>
          </w:p>
        </w:tc>
      </w:tr>
      <w:tr w14:paraId="0327864C" w14:textId="77777777" w:rsidTr="002229AB">
        <w:tblPrEx>
          <w:tblW w:w="10895" w:type="dxa"/>
          <w:jc w:val="center"/>
          <w:tblLook w:val="04A0"/>
        </w:tblPrEx>
        <w:trPr>
          <w:trHeight w:val="215"/>
          <w:jc w:val="center"/>
        </w:trPr>
        <w:tc>
          <w:tcPr>
            <w:tcW w:w="1121" w:type="dxa"/>
            <w:tcBorders>
              <w:top w:val="nil"/>
              <w:left w:val="single" w:sz="8" w:space="0" w:color="auto"/>
              <w:bottom w:val="nil"/>
              <w:right w:val="nil"/>
            </w:tcBorders>
            <w:shd w:val="clear" w:color="auto" w:fill="auto"/>
            <w:noWrap/>
            <w:vAlign w:val="bottom"/>
            <w:hideMark/>
          </w:tcPr>
          <w:p w:rsidR="005A648E" w:rsidRPr="00635141" w:rsidP="005D17A3" w14:paraId="43753ED0" w14:textId="77777777">
            <w:pPr>
              <w:keepNext/>
              <w:keepLines/>
              <w:jc w:val="right"/>
            </w:pPr>
            <w:r w:rsidRPr="00635141">
              <w:t>2</w:t>
            </w:r>
          </w:p>
        </w:tc>
        <w:tc>
          <w:tcPr>
            <w:tcW w:w="931" w:type="dxa"/>
            <w:tcBorders>
              <w:top w:val="nil"/>
              <w:left w:val="single" w:sz="4" w:space="0" w:color="auto"/>
              <w:bottom w:val="nil"/>
              <w:right w:val="nil"/>
            </w:tcBorders>
            <w:shd w:val="clear" w:color="auto" w:fill="auto"/>
            <w:noWrap/>
            <w:vAlign w:val="bottom"/>
            <w:hideMark/>
          </w:tcPr>
          <w:p w:rsidR="005A648E" w:rsidRPr="00635141" w:rsidP="005D17A3" w14:paraId="03F7887C" w14:textId="77777777">
            <w:pPr>
              <w:keepNext/>
              <w:keepLines/>
              <w:jc w:val="center"/>
            </w:pPr>
            <w:r w:rsidRPr="00635141">
              <w:t>6,631</w:t>
            </w:r>
          </w:p>
        </w:tc>
        <w:tc>
          <w:tcPr>
            <w:tcW w:w="815" w:type="dxa"/>
            <w:tcBorders>
              <w:top w:val="nil"/>
              <w:left w:val="nil"/>
              <w:bottom w:val="nil"/>
              <w:right w:val="nil"/>
            </w:tcBorders>
            <w:shd w:val="clear" w:color="auto" w:fill="auto"/>
            <w:noWrap/>
            <w:vAlign w:val="bottom"/>
            <w:hideMark/>
          </w:tcPr>
          <w:p w:rsidR="005A648E" w:rsidRPr="00635141" w:rsidP="005D17A3" w14:paraId="4A3BA522" w14:textId="77777777">
            <w:pPr>
              <w:keepNext/>
              <w:keepLines/>
              <w:jc w:val="center"/>
            </w:pPr>
            <w:r w:rsidRPr="00635141">
              <w:t>362</w:t>
            </w:r>
          </w:p>
        </w:tc>
        <w:tc>
          <w:tcPr>
            <w:tcW w:w="733" w:type="dxa"/>
            <w:tcBorders>
              <w:top w:val="nil"/>
              <w:left w:val="nil"/>
              <w:bottom w:val="nil"/>
              <w:right w:val="nil"/>
            </w:tcBorders>
            <w:shd w:val="clear" w:color="auto" w:fill="auto"/>
            <w:noWrap/>
            <w:vAlign w:val="bottom"/>
            <w:hideMark/>
          </w:tcPr>
          <w:p w:rsidR="005A648E" w:rsidRPr="00635141" w:rsidP="005D17A3" w14:paraId="6D3AEA02" w14:textId="77777777">
            <w:pPr>
              <w:keepNext/>
              <w:keepLines/>
              <w:jc w:val="center"/>
            </w:pPr>
            <w:r w:rsidRPr="00635141">
              <w:t>5%</w:t>
            </w:r>
          </w:p>
        </w:tc>
        <w:tc>
          <w:tcPr>
            <w:tcW w:w="779" w:type="dxa"/>
            <w:tcBorders>
              <w:top w:val="nil"/>
              <w:left w:val="nil"/>
              <w:bottom w:val="nil"/>
              <w:right w:val="single" w:sz="4" w:space="0" w:color="auto"/>
            </w:tcBorders>
            <w:shd w:val="clear" w:color="auto" w:fill="auto"/>
            <w:noWrap/>
            <w:vAlign w:val="bottom"/>
            <w:hideMark/>
          </w:tcPr>
          <w:p w:rsidR="005A648E" w:rsidRPr="00635141" w:rsidP="005D17A3" w14:paraId="083034B5" w14:textId="77777777">
            <w:pPr>
              <w:keepNext/>
              <w:keepLines/>
              <w:jc w:val="center"/>
            </w:pPr>
            <w:r w:rsidRPr="00635141">
              <w:t>21%</w:t>
            </w:r>
          </w:p>
        </w:tc>
        <w:tc>
          <w:tcPr>
            <w:tcW w:w="931" w:type="dxa"/>
            <w:tcBorders>
              <w:top w:val="nil"/>
              <w:left w:val="nil"/>
              <w:bottom w:val="nil"/>
              <w:right w:val="nil"/>
            </w:tcBorders>
            <w:shd w:val="clear" w:color="auto" w:fill="auto"/>
            <w:noWrap/>
            <w:vAlign w:val="bottom"/>
            <w:hideMark/>
          </w:tcPr>
          <w:p w:rsidR="005A648E" w:rsidRPr="00635141" w:rsidP="005D17A3" w14:paraId="3C62BF79" w14:textId="77777777">
            <w:pPr>
              <w:keepNext/>
              <w:keepLines/>
              <w:jc w:val="center"/>
            </w:pPr>
            <w:r w:rsidRPr="00635141">
              <w:t>62,997</w:t>
            </w:r>
          </w:p>
        </w:tc>
        <w:tc>
          <w:tcPr>
            <w:tcW w:w="815" w:type="dxa"/>
            <w:tcBorders>
              <w:top w:val="nil"/>
              <w:left w:val="nil"/>
              <w:bottom w:val="nil"/>
              <w:right w:val="nil"/>
            </w:tcBorders>
            <w:shd w:val="clear" w:color="auto" w:fill="auto"/>
            <w:noWrap/>
            <w:vAlign w:val="bottom"/>
            <w:hideMark/>
          </w:tcPr>
          <w:p w:rsidR="005A648E" w:rsidRPr="00635141" w:rsidP="005D17A3" w14:paraId="335855E1" w14:textId="77777777">
            <w:pPr>
              <w:keepNext/>
              <w:keepLines/>
              <w:jc w:val="center"/>
            </w:pPr>
            <w:r w:rsidRPr="00635141">
              <w:t>518</w:t>
            </w:r>
          </w:p>
        </w:tc>
        <w:tc>
          <w:tcPr>
            <w:tcW w:w="733" w:type="dxa"/>
            <w:tcBorders>
              <w:top w:val="nil"/>
              <w:left w:val="nil"/>
              <w:bottom w:val="nil"/>
              <w:right w:val="nil"/>
            </w:tcBorders>
            <w:shd w:val="clear" w:color="auto" w:fill="auto"/>
            <w:noWrap/>
            <w:vAlign w:val="bottom"/>
            <w:hideMark/>
          </w:tcPr>
          <w:p w:rsidR="005A648E" w:rsidRPr="00635141" w:rsidP="005D17A3" w14:paraId="5EE3792B" w14:textId="77777777">
            <w:pPr>
              <w:keepNext/>
              <w:keepLines/>
              <w:jc w:val="center"/>
            </w:pPr>
            <w:r w:rsidRPr="00635141">
              <w:t>46%</w:t>
            </w:r>
          </w:p>
        </w:tc>
        <w:tc>
          <w:tcPr>
            <w:tcW w:w="779" w:type="dxa"/>
            <w:tcBorders>
              <w:top w:val="nil"/>
              <w:left w:val="nil"/>
              <w:bottom w:val="nil"/>
              <w:right w:val="single" w:sz="4" w:space="0" w:color="auto"/>
            </w:tcBorders>
            <w:shd w:val="clear" w:color="auto" w:fill="auto"/>
            <w:noWrap/>
            <w:vAlign w:val="bottom"/>
            <w:hideMark/>
          </w:tcPr>
          <w:p w:rsidR="005A648E" w:rsidRPr="00635141" w:rsidP="005D17A3" w14:paraId="57AC5E0E" w14:textId="77777777">
            <w:pPr>
              <w:keepNext/>
              <w:keepLines/>
              <w:jc w:val="center"/>
            </w:pPr>
            <w:r w:rsidRPr="00635141">
              <w:t>30%</w:t>
            </w:r>
          </w:p>
        </w:tc>
        <w:tc>
          <w:tcPr>
            <w:tcW w:w="931" w:type="dxa"/>
            <w:tcBorders>
              <w:top w:val="nil"/>
              <w:left w:val="nil"/>
              <w:bottom w:val="nil"/>
              <w:right w:val="nil"/>
            </w:tcBorders>
            <w:shd w:val="clear" w:color="auto" w:fill="auto"/>
            <w:noWrap/>
            <w:vAlign w:val="bottom"/>
            <w:hideMark/>
          </w:tcPr>
          <w:p w:rsidR="005A648E" w:rsidRPr="00635141" w:rsidP="005D17A3" w14:paraId="0AA12D75" w14:textId="77777777">
            <w:pPr>
              <w:keepNext/>
              <w:keepLines/>
              <w:jc w:val="center"/>
            </w:pPr>
            <w:r w:rsidRPr="00635141">
              <w:t>79,661</w:t>
            </w:r>
          </w:p>
        </w:tc>
        <w:tc>
          <w:tcPr>
            <w:tcW w:w="815" w:type="dxa"/>
            <w:tcBorders>
              <w:top w:val="nil"/>
              <w:left w:val="nil"/>
              <w:bottom w:val="nil"/>
              <w:right w:val="nil"/>
            </w:tcBorders>
            <w:shd w:val="clear" w:color="auto" w:fill="auto"/>
            <w:noWrap/>
            <w:vAlign w:val="bottom"/>
            <w:hideMark/>
          </w:tcPr>
          <w:p w:rsidR="005A648E" w:rsidRPr="00635141" w:rsidP="005D17A3" w14:paraId="6459AA55" w14:textId="77777777">
            <w:pPr>
              <w:keepNext/>
              <w:keepLines/>
              <w:jc w:val="center"/>
            </w:pPr>
            <w:r w:rsidRPr="00635141">
              <w:t>471</w:t>
            </w:r>
          </w:p>
        </w:tc>
        <w:tc>
          <w:tcPr>
            <w:tcW w:w="733" w:type="dxa"/>
            <w:tcBorders>
              <w:top w:val="nil"/>
              <w:left w:val="nil"/>
              <w:bottom w:val="nil"/>
              <w:right w:val="nil"/>
            </w:tcBorders>
            <w:shd w:val="clear" w:color="auto" w:fill="auto"/>
            <w:noWrap/>
            <w:vAlign w:val="bottom"/>
            <w:hideMark/>
          </w:tcPr>
          <w:p w:rsidR="005A648E" w:rsidRPr="00635141" w:rsidP="005D17A3" w14:paraId="5EE86DFF" w14:textId="77777777">
            <w:pPr>
              <w:keepNext/>
              <w:keepLines/>
              <w:jc w:val="center"/>
            </w:pPr>
            <w:r w:rsidRPr="00635141">
              <w:t>58%</w:t>
            </w:r>
          </w:p>
        </w:tc>
        <w:tc>
          <w:tcPr>
            <w:tcW w:w="779" w:type="dxa"/>
            <w:tcBorders>
              <w:top w:val="nil"/>
              <w:left w:val="nil"/>
              <w:bottom w:val="nil"/>
              <w:right w:val="single" w:sz="8" w:space="0" w:color="auto"/>
            </w:tcBorders>
            <w:shd w:val="clear" w:color="auto" w:fill="auto"/>
            <w:noWrap/>
            <w:vAlign w:val="bottom"/>
            <w:hideMark/>
          </w:tcPr>
          <w:p w:rsidR="005A648E" w:rsidRPr="00635141" w:rsidP="005D17A3" w14:paraId="15D0B7CA" w14:textId="77777777">
            <w:pPr>
              <w:keepNext/>
              <w:keepLines/>
              <w:jc w:val="center"/>
            </w:pPr>
            <w:r w:rsidRPr="00635141">
              <w:t>27%</w:t>
            </w:r>
          </w:p>
        </w:tc>
      </w:tr>
      <w:tr w14:paraId="72DC8F23" w14:textId="77777777" w:rsidTr="002229AB">
        <w:tblPrEx>
          <w:tblW w:w="10895" w:type="dxa"/>
          <w:jc w:val="center"/>
          <w:tblLook w:val="04A0"/>
        </w:tblPrEx>
        <w:trPr>
          <w:trHeight w:val="229"/>
          <w:jc w:val="center"/>
        </w:trPr>
        <w:tc>
          <w:tcPr>
            <w:tcW w:w="1121" w:type="dxa"/>
            <w:tcBorders>
              <w:top w:val="nil"/>
              <w:left w:val="single" w:sz="8" w:space="0" w:color="auto"/>
              <w:bottom w:val="double" w:sz="6" w:space="0" w:color="auto"/>
              <w:right w:val="nil"/>
            </w:tcBorders>
            <w:shd w:val="clear" w:color="auto" w:fill="auto"/>
            <w:noWrap/>
            <w:vAlign w:val="bottom"/>
            <w:hideMark/>
          </w:tcPr>
          <w:p w:rsidR="005A648E" w:rsidRPr="00635141" w:rsidP="005D17A3" w14:paraId="1E57B0C8" w14:textId="77777777">
            <w:pPr>
              <w:keepNext/>
              <w:keepLines/>
              <w:jc w:val="right"/>
            </w:pPr>
            <w:r w:rsidRPr="00635141">
              <w:t>3 or more</w:t>
            </w:r>
          </w:p>
        </w:tc>
        <w:tc>
          <w:tcPr>
            <w:tcW w:w="931" w:type="dxa"/>
            <w:tcBorders>
              <w:top w:val="nil"/>
              <w:left w:val="single" w:sz="4" w:space="0" w:color="auto"/>
              <w:bottom w:val="double" w:sz="6" w:space="0" w:color="auto"/>
              <w:right w:val="nil"/>
            </w:tcBorders>
            <w:shd w:val="clear" w:color="auto" w:fill="auto"/>
            <w:noWrap/>
            <w:vAlign w:val="bottom"/>
            <w:hideMark/>
          </w:tcPr>
          <w:p w:rsidR="005A648E" w:rsidRPr="00635141" w:rsidP="005D17A3" w14:paraId="2525B1B7" w14:textId="77777777">
            <w:pPr>
              <w:keepNext/>
              <w:keepLines/>
              <w:jc w:val="center"/>
            </w:pPr>
            <w:r w:rsidRPr="00635141">
              <w:t>129,857</w:t>
            </w:r>
          </w:p>
        </w:tc>
        <w:tc>
          <w:tcPr>
            <w:tcW w:w="815" w:type="dxa"/>
            <w:tcBorders>
              <w:top w:val="nil"/>
              <w:left w:val="nil"/>
              <w:bottom w:val="double" w:sz="6" w:space="0" w:color="auto"/>
              <w:right w:val="nil"/>
            </w:tcBorders>
            <w:shd w:val="clear" w:color="auto" w:fill="auto"/>
            <w:noWrap/>
            <w:vAlign w:val="bottom"/>
            <w:hideMark/>
          </w:tcPr>
          <w:p w:rsidR="005A648E" w:rsidRPr="00635141" w:rsidP="005D17A3" w14:paraId="321F87C8" w14:textId="77777777">
            <w:pPr>
              <w:keepNext/>
              <w:keepLines/>
              <w:jc w:val="center"/>
            </w:pPr>
            <w:r w:rsidRPr="00635141">
              <w:t>1,264</w:t>
            </w:r>
          </w:p>
        </w:tc>
        <w:tc>
          <w:tcPr>
            <w:tcW w:w="733" w:type="dxa"/>
            <w:tcBorders>
              <w:top w:val="nil"/>
              <w:left w:val="nil"/>
              <w:bottom w:val="double" w:sz="6" w:space="0" w:color="auto"/>
              <w:right w:val="nil"/>
            </w:tcBorders>
            <w:shd w:val="clear" w:color="auto" w:fill="auto"/>
            <w:noWrap/>
            <w:vAlign w:val="bottom"/>
            <w:hideMark/>
          </w:tcPr>
          <w:p w:rsidR="005A648E" w:rsidRPr="00635141" w:rsidP="005D17A3" w14:paraId="7EA8D660" w14:textId="77777777">
            <w:pPr>
              <w:keepNext/>
              <w:keepLines/>
              <w:jc w:val="center"/>
            </w:pPr>
            <w:r w:rsidRPr="00635141">
              <w:t>94%</w:t>
            </w:r>
          </w:p>
        </w:tc>
        <w:tc>
          <w:tcPr>
            <w:tcW w:w="779" w:type="dxa"/>
            <w:tcBorders>
              <w:top w:val="nil"/>
              <w:left w:val="nil"/>
              <w:bottom w:val="double" w:sz="6" w:space="0" w:color="auto"/>
              <w:right w:val="single" w:sz="4" w:space="0" w:color="auto"/>
            </w:tcBorders>
            <w:shd w:val="clear" w:color="auto" w:fill="auto"/>
            <w:noWrap/>
            <w:vAlign w:val="bottom"/>
            <w:hideMark/>
          </w:tcPr>
          <w:p w:rsidR="005A648E" w:rsidRPr="00635141" w:rsidP="005D17A3" w14:paraId="2E350F19" w14:textId="77777777">
            <w:pPr>
              <w:keepNext/>
              <w:keepLines/>
              <w:jc w:val="center"/>
            </w:pPr>
            <w:r w:rsidRPr="00635141">
              <w:t>72%</w:t>
            </w:r>
          </w:p>
        </w:tc>
        <w:tc>
          <w:tcPr>
            <w:tcW w:w="931" w:type="dxa"/>
            <w:tcBorders>
              <w:top w:val="nil"/>
              <w:left w:val="nil"/>
              <w:bottom w:val="double" w:sz="6" w:space="0" w:color="auto"/>
              <w:right w:val="nil"/>
            </w:tcBorders>
            <w:shd w:val="clear" w:color="auto" w:fill="auto"/>
            <w:noWrap/>
            <w:vAlign w:val="bottom"/>
            <w:hideMark/>
          </w:tcPr>
          <w:p w:rsidR="005A648E" w:rsidRPr="00635141" w:rsidP="005D17A3" w14:paraId="4490ED0D" w14:textId="77777777">
            <w:pPr>
              <w:keepNext/>
              <w:keepLines/>
              <w:jc w:val="center"/>
            </w:pPr>
            <w:r w:rsidRPr="00635141">
              <w:t>46,016</w:t>
            </w:r>
          </w:p>
        </w:tc>
        <w:tc>
          <w:tcPr>
            <w:tcW w:w="815" w:type="dxa"/>
            <w:tcBorders>
              <w:top w:val="nil"/>
              <w:left w:val="nil"/>
              <w:bottom w:val="double" w:sz="6" w:space="0" w:color="auto"/>
              <w:right w:val="nil"/>
            </w:tcBorders>
            <w:shd w:val="clear" w:color="auto" w:fill="auto"/>
            <w:noWrap/>
            <w:vAlign w:val="bottom"/>
            <w:hideMark/>
          </w:tcPr>
          <w:p w:rsidR="005A648E" w:rsidRPr="00635141" w:rsidP="005D17A3" w14:paraId="06E2E3B1" w14:textId="77777777">
            <w:pPr>
              <w:keepNext/>
              <w:keepLines/>
              <w:jc w:val="center"/>
            </w:pPr>
            <w:r w:rsidRPr="00635141">
              <w:t>355</w:t>
            </w:r>
          </w:p>
        </w:tc>
        <w:tc>
          <w:tcPr>
            <w:tcW w:w="733" w:type="dxa"/>
            <w:tcBorders>
              <w:top w:val="nil"/>
              <w:left w:val="nil"/>
              <w:bottom w:val="double" w:sz="6" w:space="0" w:color="auto"/>
              <w:right w:val="nil"/>
            </w:tcBorders>
            <w:shd w:val="clear" w:color="auto" w:fill="auto"/>
            <w:noWrap/>
            <w:vAlign w:val="bottom"/>
            <w:hideMark/>
          </w:tcPr>
          <w:p w:rsidR="005A648E" w:rsidRPr="00635141" w:rsidP="005D17A3" w14:paraId="4945BA38" w14:textId="77777777">
            <w:pPr>
              <w:keepNext/>
              <w:keepLines/>
              <w:jc w:val="center"/>
            </w:pPr>
            <w:r w:rsidRPr="00635141">
              <w:t>34%</w:t>
            </w:r>
          </w:p>
        </w:tc>
        <w:tc>
          <w:tcPr>
            <w:tcW w:w="779" w:type="dxa"/>
            <w:tcBorders>
              <w:top w:val="nil"/>
              <w:left w:val="nil"/>
              <w:bottom w:val="double" w:sz="6" w:space="0" w:color="auto"/>
              <w:right w:val="single" w:sz="4" w:space="0" w:color="auto"/>
            </w:tcBorders>
            <w:shd w:val="clear" w:color="auto" w:fill="auto"/>
            <w:noWrap/>
            <w:vAlign w:val="bottom"/>
            <w:hideMark/>
          </w:tcPr>
          <w:p w:rsidR="005A648E" w:rsidRPr="00635141" w:rsidP="005D17A3" w14:paraId="1305C3AC" w14:textId="77777777">
            <w:pPr>
              <w:keepNext/>
              <w:keepLines/>
              <w:jc w:val="center"/>
            </w:pPr>
            <w:r w:rsidRPr="00635141">
              <w:t>20%</w:t>
            </w:r>
          </w:p>
        </w:tc>
        <w:tc>
          <w:tcPr>
            <w:tcW w:w="931" w:type="dxa"/>
            <w:tcBorders>
              <w:top w:val="nil"/>
              <w:left w:val="nil"/>
              <w:bottom w:val="double" w:sz="6" w:space="0" w:color="auto"/>
              <w:right w:val="nil"/>
            </w:tcBorders>
            <w:shd w:val="clear" w:color="auto" w:fill="auto"/>
            <w:noWrap/>
            <w:vAlign w:val="bottom"/>
            <w:hideMark/>
          </w:tcPr>
          <w:p w:rsidR="005A648E" w:rsidRPr="00635141" w:rsidP="005D17A3" w14:paraId="5F306258" w14:textId="77777777">
            <w:pPr>
              <w:keepNext/>
              <w:keepLines/>
              <w:jc w:val="center"/>
            </w:pPr>
            <w:r w:rsidRPr="00635141">
              <w:t>18,918</w:t>
            </w:r>
          </w:p>
        </w:tc>
        <w:tc>
          <w:tcPr>
            <w:tcW w:w="815" w:type="dxa"/>
            <w:tcBorders>
              <w:top w:val="nil"/>
              <w:left w:val="nil"/>
              <w:bottom w:val="double" w:sz="6" w:space="0" w:color="auto"/>
              <w:right w:val="nil"/>
            </w:tcBorders>
            <w:shd w:val="clear" w:color="auto" w:fill="auto"/>
            <w:noWrap/>
            <w:vAlign w:val="bottom"/>
            <w:hideMark/>
          </w:tcPr>
          <w:p w:rsidR="005A648E" w:rsidRPr="00635141" w:rsidP="005D17A3" w14:paraId="5E39A109" w14:textId="77777777">
            <w:pPr>
              <w:keepNext/>
              <w:keepLines/>
              <w:jc w:val="center"/>
            </w:pPr>
            <w:r w:rsidRPr="00635141">
              <w:t>51</w:t>
            </w:r>
          </w:p>
        </w:tc>
        <w:tc>
          <w:tcPr>
            <w:tcW w:w="733" w:type="dxa"/>
            <w:tcBorders>
              <w:top w:val="nil"/>
              <w:left w:val="nil"/>
              <w:bottom w:val="double" w:sz="6" w:space="0" w:color="auto"/>
              <w:right w:val="nil"/>
            </w:tcBorders>
            <w:shd w:val="clear" w:color="auto" w:fill="auto"/>
            <w:noWrap/>
            <w:vAlign w:val="bottom"/>
            <w:hideMark/>
          </w:tcPr>
          <w:p w:rsidR="005A648E" w:rsidRPr="00635141" w:rsidP="005D17A3" w14:paraId="63E3B2A7" w14:textId="77777777">
            <w:pPr>
              <w:keepNext/>
              <w:keepLines/>
              <w:jc w:val="center"/>
            </w:pPr>
            <w:r w:rsidRPr="00635141">
              <w:t>14%</w:t>
            </w:r>
          </w:p>
        </w:tc>
        <w:tc>
          <w:tcPr>
            <w:tcW w:w="779" w:type="dxa"/>
            <w:tcBorders>
              <w:top w:val="nil"/>
              <w:left w:val="nil"/>
              <w:bottom w:val="double" w:sz="6" w:space="0" w:color="auto"/>
              <w:right w:val="single" w:sz="8" w:space="0" w:color="auto"/>
            </w:tcBorders>
            <w:shd w:val="clear" w:color="auto" w:fill="auto"/>
            <w:noWrap/>
            <w:vAlign w:val="bottom"/>
            <w:hideMark/>
          </w:tcPr>
          <w:p w:rsidR="005A648E" w:rsidRPr="00635141" w:rsidP="005D17A3" w14:paraId="3149AF73" w14:textId="77777777">
            <w:pPr>
              <w:keepNext/>
              <w:keepLines/>
              <w:jc w:val="center"/>
            </w:pPr>
            <w:r w:rsidRPr="00635141">
              <w:t>3%</w:t>
            </w:r>
          </w:p>
        </w:tc>
      </w:tr>
      <w:tr w14:paraId="642AFA31" w14:textId="77777777" w:rsidTr="002229AB">
        <w:tblPrEx>
          <w:tblW w:w="10895" w:type="dxa"/>
          <w:jc w:val="center"/>
          <w:tblLook w:val="04A0"/>
        </w:tblPrEx>
        <w:trPr>
          <w:trHeight w:val="180"/>
          <w:jc w:val="center"/>
        </w:trPr>
        <w:tc>
          <w:tcPr>
            <w:tcW w:w="1121" w:type="dxa"/>
            <w:tcBorders>
              <w:top w:val="nil"/>
              <w:left w:val="single" w:sz="8" w:space="0" w:color="auto"/>
              <w:bottom w:val="single" w:sz="8" w:space="0" w:color="auto"/>
              <w:right w:val="nil"/>
            </w:tcBorders>
            <w:shd w:val="clear" w:color="auto" w:fill="auto"/>
            <w:noWrap/>
            <w:vAlign w:val="bottom"/>
            <w:hideMark/>
          </w:tcPr>
          <w:p w:rsidR="005A648E" w:rsidRPr="00635141" w:rsidP="005D17A3" w14:paraId="126C330B" w14:textId="77777777">
            <w:pPr>
              <w:keepNext/>
              <w:keepLines/>
              <w:jc w:val="right"/>
            </w:pPr>
            <w:r w:rsidRPr="00635141">
              <w:t>Total</w:t>
            </w:r>
          </w:p>
        </w:tc>
        <w:tc>
          <w:tcPr>
            <w:tcW w:w="931" w:type="dxa"/>
            <w:tcBorders>
              <w:top w:val="nil"/>
              <w:left w:val="single" w:sz="4" w:space="0" w:color="auto"/>
              <w:bottom w:val="single" w:sz="8" w:space="0" w:color="auto"/>
              <w:right w:val="nil"/>
            </w:tcBorders>
            <w:shd w:val="clear" w:color="auto" w:fill="auto"/>
            <w:noWrap/>
            <w:vAlign w:val="bottom"/>
            <w:hideMark/>
          </w:tcPr>
          <w:p w:rsidR="005A648E" w:rsidRPr="00635141" w:rsidP="005D17A3" w14:paraId="5BEEF440" w14:textId="77777777">
            <w:pPr>
              <w:keepNext/>
              <w:keepLines/>
              <w:jc w:val="center"/>
            </w:pPr>
            <w:r w:rsidRPr="00635141">
              <w:t>137,254</w:t>
            </w:r>
          </w:p>
        </w:tc>
        <w:tc>
          <w:tcPr>
            <w:tcW w:w="815" w:type="dxa"/>
            <w:tcBorders>
              <w:top w:val="nil"/>
              <w:left w:val="nil"/>
              <w:bottom w:val="single" w:sz="8" w:space="0" w:color="auto"/>
              <w:right w:val="nil"/>
            </w:tcBorders>
            <w:shd w:val="clear" w:color="auto" w:fill="auto"/>
            <w:noWrap/>
            <w:vAlign w:val="bottom"/>
            <w:hideMark/>
          </w:tcPr>
          <w:p w:rsidR="005A648E" w:rsidRPr="00635141" w:rsidP="005D17A3" w14:paraId="791D317C" w14:textId="77777777">
            <w:pPr>
              <w:keepNext/>
              <w:keepLines/>
              <w:jc w:val="center"/>
            </w:pPr>
            <w:r w:rsidRPr="00635141">
              <w:t>1,750</w:t>
            </w:r>
          </w:p>
        </w:tc>
        <w:tc>
          <w:tcPr>
            <w:tcW w:w="733" w:type="dxa"/>
            <w:tcBorders>
              <w:top w:val="nil"/>
              <w:left w:val="nil"/>
              <w:bottom w:val="single" w:sz="8" w:space="0" w:color="auto"/>
              <w:right w:val="nil"/>
            </w:tcBorders>
            <w:shd w:val="clear" w:color="auto" w:fill="auto"/>
            <w:noWrap/>
            <w:vAlign w:val="bottom"/>
            <w:hideMark/>
          </w:tcPr>
          <w:p w:rsidR="005A648E" w:rsidRPr="00635141" w:rsidP="005D17A3" w14:paraId="70005403" w14:textId="77777777">
            <w:pPr>
              <w:keepNext/>
              <w:keepLines/>
              <w:jc w:val="center"/>
              <w:rPr>
                <w:iCs/>
              </w:rPr>
            </w:pPr>
            <w:r w:rsidRPr="00635141">
              <w:rPr>
                <w:iCs/>
              </w:rPr>
              <w:t>100%</w:t>
            </w:r>
          </w:p>
        </w:tc>
        <w:tc>
          <w:tcPr>
            <w:tcW w:w="779" w:type="dxa"/>
            <w:tcBorders>
              <w:top w:val="nil"/>
              <w:left w:val="nil"/>
              <w:bottom w:val="single" w:sz="8" w:space="0" w:color="auto"/>
              <w:right w:val="single" w:sz="4" w:space="0" w:color="auto"/>
            </w:tcBorders>
            <w:shd w:val="clear" w:color="auto" w:fill="auto"/>
            <w:noWrap/>
            <w:vAlign w:val="bottom"/>
            <w:hideMark/>
          </w:tcPr>
          <w:p w:rsidR="005A648E" w:rsidRPr="00635141" w:rsidP="005D17A3" w14:paraId="57A3DB91" w14:textId="77777777">
            <w:pPr>
              <w:keepNext/>
              <w:keepLines/>
              <w:jc w:val="center"/>
              <w:rPr>
                <w:iCs/>
              </w:rPr>
            </w:pPr>
            <w:r w:rsidRPr="00635141">
              <w:rPr>
                <w:iCs/>
              </w:rPr>
              <w:t>100%</w:t>
            </w:r>
          </w:p>
        </w:tc>
        <w:tc>
          <w:tcPr>
            <w:tcW w:w="931" w:type="dxa"/>
            <w:tcBorders>
              <w:top w:val="nil"/>
              <w:left w:val="nil"/>
              <w:bottom w:val="single" w:sz="8" w:space="0" w:color="auto"/>
              <w:right w:val="nil"/>
            </w:tcBorders>
            <w:shd w:val="clear" w:color="auto" w:fill="auto"/>
            <w:noWrap/>
            <w:vAlign w:val="bottom"/>
            <w:hideMark/>
          </w:tcPr>
          <w:p w:rsidR="005A648E" w:rsidRPr="00635141" w:rsidP="005D17A3" w14:paraId="442B39D8" w14:textId="77777777">
            <w:pPr>
              <w:keepNext/>
              <w:keepLines/>
              <w:jc w:val="center"/>
            </w:pPr>
            <w:r w:rsidRPr="00635141">
              <w:t>137,254</w:t>
            </w:r>
          </w:p>
        </w:tc>
        <w:tc>
          <w:tcPr>
            <w:tcW w:w="815" w:type="dxa"/>
            <w:tcBorders>
              <w:top w:val="nil"/>
              <w:left w:val="nil"/>
              <w:bottom w:val="single" w:sz="8" w:space="0" w:color="auto"/>
              <w:right w:val="nil"/>
            </w:tcBorders>
            <w:shd w:val="clear" w:color="auto" w:fill="auto"/>
            <w:noWrap/>
            <w:vAlign w:val="bottom"/>
            <w:hideMark/>
          </w:tcPr>
          <w:p w:rsidR="005A648E" w:rsidRPr="00635141" w:rsidP="005D17A3" w14:paraId="4956EA16" w14:textId="77777777">
            <w:pPr>
              <w:keepNext/>
              <w:keepLines/>
              <w:jc w:val="center"/>
            </w:pPr>
            <w:r w:rsidRPr="00635141">
              <w:t>1,750</w:t>
            </w:r>
          </w:p>
        </w:tc>
        <w:tc>
          <w:tcPr>
            <w:tcW w:w="733" w:type="dxa"/>
            <w:tcBorders>
              <w:top w:val="nil"/>
              <w:left w:val="nil"/>
              <w:bottom w:val="single" w:sz="8" w:space="0" w:color="auto"/>
              <w:right w:val="nil"/>
            </w:tcBorders>
            <w:shd w:val="clear" w:color="auto" w:fill="auto"/>
            <w:noWrap/>
            <w:vAlign w:val="bottom"/>
            <w:hideMark/>
          </w:tcPr>
          <w:p w:rsidR="005A648E" w:rsidRPr="00635141" w:rsidP="005D17A3" w14:paraId="265F26EF" w14:textId="77777777">
            <w:pPr>
              <w:keepNext/>
              <w:keepLines/>
              <w:jc w:val="center"/>
              <w:rPr>
                <w:iCs/>
              </w:rPr>
            </w:pPr>
            <w:r w:rsidRPr="00635141">
              <w:rPr>
                <w:iCs/>
              </w:rPr>
              <w:t>100%</w:t>
            </w:r>
          </w:p>
        </w:tc>
        <w:tc>
          <w:tcPr>
            <w:tcW w:w="779" w:type="dxa"/>
            <w:tcBorders>
              <w:top w:val="nil"/>
              <w:left w:val="nil"/>
              <w:bottom w:val="single" w:sz="8" w:space="0" w:color="auto"/>
              <w:right w:val="single" w:sz="4" w:space="0" w:color="auto"/>
            </w:tcBorders>
            <w:shd w:val="clear" w:color="auto" w:fill="auto"/>
            <w:noWrap/>
            <w:vAlign w:val="bottom"/>
            <w:hideMark/>
          </w:tcPr>
          <w:p w:rsidR="005A648E" w:rsidRPr="00635141" w:rsidP="005D17A3" w14:paraId="2B65699B" w14:textId="77777777">
            <w:pPr>
              <w:keepNext/>
              <w:keepLines/>
              <w:jc w:val="center"/>
              <w:rPr>
                <w:iCs/>
              </w:rPr>
            </w:pPr>
            <w:r w:rsidRPr="00635141">
              <w:rPr>
                <w:iCs/>
              </w:rPr>
              <w:t>100%</w:t>
            </w:r>
          </w:p>
        </w:tc>
        <w:tc>
          <w:tcPr>
            <w:tcW w:w="931" w:type="dxa"/>
            <w:tcBorders>
              <w:top w:val="nil"/>
              <w:left w:val="nil"/>
              <w:bottom w:val="single" w:sz="8" w:space="0" w:color="auto"/>
              <w:right w:val="nil"/>
            </w:tcBorders>
            <w:shd w:val="clear" w:color="auto" w:fill="auto"/>
            <w:noWrap/>
            <w:vAlign w:val="bottom"/>
            <w:hideMark/>
          </w:tcPr>
          <w:p w:rsidR="005A648E" w:rsidRPr="00635141" w:rsidP="005D17A3" w14:paraId="6C911D6C" w14:textId="77777777">
            <w:pPr>
              <w:keepNext/>
              <w:keepLines/>
              <w:jc w:val="center"/>
            </w:pPr>
            <w:r w:rsidRPr="00635141">
              <w:t>137,254</w:t>
            </w:r>
          </w:p>
        </w:tc>
        <w:tc>
          <w:tcPr>
            <w:tcW w:w="815" w:type="dxa"/>
            <w:tcBorders>
              <w:top w:val="nil"/>
              <w:left w:val="nil"/>
              <w:bottom w:val="single" w:sz="8" w:space="0" w:color="auto"/>
              <w:right w:val="nil"/>
            </w:tcBorders>
            <w:shd w:val="clear" w:color="auto" w:fill="auto"/>
            <w:noWrap/>
            <w:vAlign w:val="bottom"/>
            <w:hideMark/>
          </w:tcPr>
          <w:p w:rsidR="005A648E" w:rsidRPr="00635141" w:rsidP="005D17A3" w14:paraId="1622A854" w14:textId="77777777">
            <w:pPr>
              <w:keepNext/>
              <w:keepLines/>
              <w:jc w:val="center"/>
            </w:pPr>
            <w:r w:rsidRPr="00635141">
              <w:t>1,750</w:t>
            </w:r>
          </w:p>
        </w:tc>
        <w:tc>
          <w:tcPr>
            <w:tcW w:w="733" w:type="dxa"/>
            <w:tcBorders>
              <w:top w:val="nil"/>
              <w:left w:val="nil"/>
              <w:bottom w:val="single" w:sz="8" w:space="0" w:color="auto"/>
              <w:right w:val="nil"/>
            </w:tcBorders>
            <w:shd w:val="clear" w:color="auto" w:fill="auto"/>
            <w:noWrap/>
            <w:vAlign w:val="bottom"/>
            <w:hideMark/>
          </w:tcPr>
          <w:p w:rsidR="005A648E" w:rsidRPr="00635141" w:rsidP="005D17A3" w14:paraId="4AA06E2A" w14:textId="77777777">
            <w:pPr>
              <w:keepNext/>
              <w:keepLines/>
              <w:jc w:val="center"/>
              <w:rPr>
                <w:iCs/>
              </w:rPr>
            </w:pPr>
            <w:r w:rsidRPr="00635141">
              <w:rPr>
                <w:iCs/>
              </w:rPr>
              <w:t>100%</w:t>
            </w:r>
          </w:p>
        </w:tc>
        <w:tc>
          <w:tcPr>
            <w:tcW w:w="779" w:type="dxa"/>
            <w:tcBorders>
              <w:top w:val="nil"/>
              <w:left w:val="nil"/>
              <w:bottom w:val="single" w:sz="8" w:space="0" w:color="auto"/>
              <w:right w:val="single" w:sz="8" w:space="0" w:color="auto"/>
            </w:tcBorders>
            <w:shd w:val="clear" w:color="auto" w:fill="auto"/>
            <w:noWrap/>
            <w:vAlign w:val="bottom"/>
            <w:hideMark/>
          </w:tcPr>
          <w:p w:rsidR="005A648E" w:rsidRPr="00635141" w:rsidP="005D17A3" w14:paraId="07AF1E53" w14:textId="77777777">
            <w:pPr>
              <w:keepNext/>
              <w:keepLines/>
              <w:jc w:val="center"/>
              <w:rPr>
                <w:iCs/>
              </w:rPr>
            </w:pPr>
            <w:r w:rsidRPr="00635141">
              <w:rPr>
                <w:iCs/>
              </w:rPr>
              <w:t>100%</w:t>
            </w:r>
          </w:p>
        </w:tc>
      </w:tr>
    </w:tbl>
    <w:p w:rsidR="005A648E" w:rsidP="00D26ABA" w14:paraId="0EBB1D0E" w14:textId="1BFDA186">
      <w:pPr>
        <w:spacing w:before="120" w:after="120"/>
        <w:ind w:firstLine="720"/>
      </w:pPr>
      <w:r>
        <w:t xml:space="preserve">At the higher speeds presented in Figure 4 below, </w:t>
      </w:r>
      <w:r w:rsidR="00F62045">
        <w:t>Non-</w:t>
      </w:r>
      <w:r w:rsidRPr="00D85509">
        <w:t xml:space="preserve">Tribal housing units are </w:t>
      </w:r>
      <w:r>
        <w:t xml:space="preserve">more than three </w:t>
      </w:r>
      <w:r w:rsidRPr="00D85509">
        <w:t xml:space="preserve">times </w:t>
      </w:r>
      <w:r w:rsidR="00F62045">
        <w:t>as</w:t>
      </w:r>
      <w:r>
        <w:t xml:space="preserve"> </w:t>
      </w:r>
      <w:r w:rsidRPr="00D85509">
        <w:t xml:space="preserve">likely to </w:t>
      </w:r>
      <w:r>
        <w:t>have</w:t>
      </w:r>
      <w:r w:rsidRPr="00D85509">
        <w:t xml:space="preserve"> </w:t>
      </w:r>
      <w:r w:rsidR="00F62045">
        <w:t>at least one</w:t>
      </w:r>
      <w:r w:rsidRPr="00D85509">
        <w:t xml:space="preserve"> provider of 100/10 Mbps service than housing units</w:t>
      </w:r>
      <w:r w:rsidR="00F62045">
        <w:t xml:space="preserve"> on Tribal lands</w:t>
      </w:r>
      <w:r w:rsidRPr="00D85509">
        <w:t xml:space="preserve">.  Additionally, only 12% of Tribal housing units have a choice of more than one terrestrial provider of 100/10 Mbps service, as opposed to approximately </w:t>
      </w:r>
      <w:r>
        <w:t>46</w:t>
      </w:r>
      <w:r w:rsidRPr="00D85509">
        <w:t xml:space="preserve">% of non-Tribal housing units, and 12% of Tribal </w:t>
      </w:r>
      <w:r w:rsidRPr="00D85509">
        <w:t xml:space="preserve">housing units have a choice of more than one wired provider of such service, as compared to approximately </w:t>
      </w:r>
      <w:r>
        <w:t>44</w:t>
      </w:r>
      <w:r w:rsidRPr="00D85509">
        <w:t>% of non-Tribal housing units.</w:t>
      </w:r>
    </w:p>
    <w:p w:rsidR="00F91489" w:rsidRPr="00F91489" w:rsidP="00F91489" w14:paraId="6C2A5975" w14:textId="474E05F2">
      <w:pPr>
        <w:spacing w:after="120"/>
        <w:jc w:val="center"/>
        <w:rPr>
          <w:b/>
        </w:rPr>
      </w:pPr>
      <w:r w:rsidRPr="00F91489">
        <w:rPr>
          <w:b/>
        </w:rPr>
        <w:t>Fig. 4</w:t>
      </w:r>
    </w:p>
    <w:tbl>
      <w:tblPr>
        <w:tblW w:w="10895" w:type="dxa"/>
        <w:jc w:val="center"/>
        <w:tblLook w:val="04A0"/>
      </w:tblPr>
      <w:tblGrid>
        <w:gridCol w:w="1121"/>
        <w:gridCol w:w="931"/>
        <w:gridCol w:w="815"/>
        <w:gridCol w:w="733"/>
        <w:gridCol w:w="779"/>
        <w:gridCol w:w="931"/>
        <w:gridCol w:w="815"/>
        <w:gridCol w:w="733"/>
        <w:gridCol w:w="779"/>
        <w:gridCol w:w="931"/>
        <w:gridCol w:w="815"/>
        <w:gridCol w:w="733"/>
        <w:gridCol w:w="779"/>
      </w:tblGrid>
      <w:tr w14:paraId="059D27C4" w14:textId="77777777" w:rsidTr="00D91C91">
        <w:tblPrEx>
          <w:tblW w:w="10895" w:type="dxa"/>
          <w:jc w:val="center"/>
          <w:tblLook w:val="04A0"/>
        </w:tblPrEx>
        <w:trPr>
          <w:trHeight w:val="228"/>
          <w:jc w:val="center"/>
        </w:trPr>
        <w:tc>
          <w:tcPr>
            <w:tcW w:w="10895" w:type="dxa"/>
            <w:gridSpan w:val="13"/>
            <w:tcBorders>
              <w:top w:val="single" w:sz="8" w:space="0" w:color="auto"/>
              <w:left w:val="single" w:sz="8" w:space="0" w:color="auto"/>
              <w:bottom w:val="single" w:sz="4" w:space="0" w:color="auto"/>
              <w:right w:val="single" w:sz="8" w:space="0" w:color="000000"/>
            </w:tcBorders>
            <w:shd w:val="clear" w:color="000000" w:fill="D9D9D9"/>
            <w:noWrap/>
            <w:vAlign w:val="bottom"/>
            <w:hideMark/>
          </w:tcPr>
          <w:p w:rsidR="005A648E" w:rsidRPr="00DE2067" w:rsidP="005D17A3" w14:paraId="63DBE2EA" w14:textId="0BAECAEA">
            <w:pPr>
              <w:jc w:val="center"/>
              <w:rPr>
                <w:b/>
                <w:bCs/>
              </w:rPr>
            </w:pPr>
            <w:r w:rsidRPr="00DE2067">
              <w:rPr>
                <w:b/>
                <w:bCs/>
              </w:rPr>
              <w:t>Deployment of 100/10 Mbps Fixed Service to Non-Tribal and Tribal Housing Units (HUs)</w:t>
            </w:r>
          </w:p>
        </w:tc>
      </w:tr>
      <w:tr w14:paraId="7C330230" w14:textId="77777777" w:rsidTr="005A648E">
        <w:tblPrEx>
          <w:tblW w:w="10895" w:type="dxa"/>
          <w:jc w:val="center"/>
          <w:tblLook w:val="04A0"/>
        </w:tblPrEx>
        <w:trPr>
          <w:trHeight w:val="228"/>
          <w:jc w:val="center"/>
        </w:trPr>
        <w:tc>
          <w:tcPr>
            <w:tcW w:w="1121" w:type="dxa"/>
            <w:tcBorders>
              <w:top w:val="single" w:sz="4" w:space="0" w:color="auto"/>
              <w:left w:val="single" w:sz="8" w:space="0" w:color="auto"/>
              <w:bottom w:val="single" w:sz="4" w:space="0" w:color="auto"/>
              <w:right w:val="nil"/>
            </w:tcBorders>
            <w:shd w:val="clear" w:color="auto" w:fill="auto"/>
            <w:noWrap/>
            <w:vAlign w:val="bottom"/>
            <w:hideMark/>
          </w:tcPr>
          <w:p w:rsidR="005A648E" w:rsidRPr="00DE2067" w:rsidP="005D17A3" w14:paraId="790B4E3C" w14:textId="77777777">
            <w:r w:rsidRPr="00DE2067">
              <w:t> </w:t>
            </w:r>
          </w:p>
        </w:tc>
        <w:tc>
          <w:tcPr>
            <w:tcW w:w="325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A648E" w:rsidRPr="00DE2067" w:rsidP="005D17A3" w14:paraId="41C5514D" w14:textId="77777777">
            <w:pPr>
              <w:jc w:val="center"/>
              <w:rPr>
                <w:b/>
                <w:bCs/>
              </w:rPr>
            </w:pPr>
            <w:r w:rsidRPr="00DE2067">
              <w:rPr>
                <w:b/>
                <w:bCs/>
              </w:rPr>
              <w:t>By Any Technology</w:t>
            </w:r>
          </w:p>
        </w:tc>
        <w:tc>
          <w:tcPr>
            <w:tcW w:w="3258" w:type="dxa"/>
            <w:gridSpan w:val="4"/>
            <w:tcBorders>
              <w:top w:val="single" w:sz="4" w:space="0" w:color="auto"/>
              <w:left w:val="nil"/>
              <w:bottom w:val="single" w:sz="4" w:space="0" w:color="auto"/>
              <w:right w:val="single" w:sz="4" w:space="0" w:color="000000"/>
            </w:tcBorders>
            <w:shd w:val="clear" w:color="auto" w:fill="auto"/>
            <w:noWrap/>
            <w:vAlign w:val="bottom"/>
            <w:hideMark/>
          </w:tcPr>
          <w:p w:rsidR="005A648E" w:rsidRPr="00DE2067" w:rsidP="005D17A3" w14:paraId="49CCDA67" w14:textId="77777777">
            <w:pPr>
              <w:jc w:val="center"/>
              <w:rPr>
                <w:b/>
                <w:bCs/>
              </w:rPr>
            </w:pPr>
            <w:r w:rsidRPr="00DE2067">
              <w:rPr>
                <w:b/>
                <w:bCs/>
              </w:rPr>
              <w:t>By Any Terrestrial Technology</w:t>
            </w:r>
          </w:p>
        </w:tc>
        <w:tc>
          <w:tcPr>
            <w:tcW w:w="3258" w:type="dxa"/>
            <w:gridSpan w:val="4"/>
            <w:tcBorders>
              <w:top w:val="single" w:sz="4" w:space="0" w:color="auto"/>
              <w:left w:val="nil"/>
              <w:bottom w:val="single" w:sz="4" w:space="0" w:color="auto"/>
              <w:right w:val="single" w:sz="8" w:space="0" w:color="000000"/>
            </w:tcBorders>
            <w:shd w:val="clear" w:color="auto" w:fill="auto"/>
            <w:noWrap/>
            <w:vAlign w:val="bottom"/>
            <w:hideMark/>
          </w:tcPr>
          <w:p w:rsidR="005A648E" w:rsidRPr="00DE2067" w:rsidP="005D17A3" w14:paraId="52E37CAE" w14:textId="77777777">
            <w:pPr>
              <w:jc w:val="center"/>
              <w:rPr>
                <w:b/>
                <w:bCs/>
              </w:rPr>
            </w:pPr>
            <w:r w:rsidRPr="00DE2067">
              <w:rPr>
                <w:b/>
                <w:bCs/>
              </w:rPr>
              <w:t>By Any Wired Technology</w:t>
            </w:r>
          </w:p>
        </w:tc>
      </w:tr>
      <w:tr w14:paraId="49DA4035" w14:textId="77777777" w:rsidTr="005A648E">
        <w:tblPrEx>
          <w:tblW w:w="10895" w:type="dxa"/>
          <w:jc w:val="center"/>
          <w:tblLook w:val="04A0"/>
        </w:tblPrEx>
        <w:trPr>
          <w:trHeight w:val="506"/>
          <w:jc w:val="center"/>
        </w:trPr>
        <w:tc>
          <w:tcPr>
            <w:tcW w:w="1121" w:type="dxa"/>
            <w:tcBorders>
              <w:top w:val="single" w:sz="4" w:space="0" w:color="auto"/>
              <w:left w:val="single" w:sz="8" w:space="0" w:color="auto"/>
              <w:bottom w:val="single" w:sz="4" w:space="0" w:color="auto"/>
              <w:right w:val="nil"/>
            </w:tcBorders>
            <w:shd w:val="clear" w:color="auto" w:fill="auto"/>
            <w:vAlign w:val="bottom"/>
            <w:hideMark/>
          </w:tcPr>
          <w:p w:rsidR="005A648E" w:rsidRPr="00DE2067" w:rsidP="005D17A3" w14:paraId="4BE7E99E" w14:textId="77777777">
            <w:pPr>
              <w:rPr>
                <w:b/>
                <w:bCs/>
              </w:rPr>
            </w:pPr>
            <w:r w:rsidRPr="00DE2067">
              <w:rPr>
                <w:b/>
                <w:bCs/>
              </w:rPr>
              <w:t xml:space="preserve"># </w:t>
            </w:r>
            <w:r w:rsidRPr="00DE2067">
              <w:rPr>
                <w:b/>
                <w:bCs/>
              </w:rPr>
              <w:br/>
              <w:t>providers</w:t>
            </w:r>
          </w:p>
        </w:tc>
        <w:tc>
          <w:tcPr>
            <w:tcW w:w="931" w:type="dxa"/>
            <w:tcBorders>
              <w:top w:val="single" w:sz="4" w:space="0" w:color="auto"/>
              <w:left w:val="single" w:sz="4" w:space="0" w:color="auto"/>
              <w:bottom w:val="single" w:sz="4" w:space="0" w:color="auto"/>
              <w:right w:val="nil"/>
            </w:tcBorders>
            <w:shd w:val="clear" w:color="auto" w:fill="auto"/>
            <w:vAlign w:val="bottom"/>
            <w:hideMark/>
          </w:tcPr>
          <w:p w:rsidR="005A648E" w:rsidRPr="00DE2067" w:rsidP="005D17A3" w14:paraId="1AFA27BF" w14:textId="77777777">
            <w:pPr>
              <w:jc w:val="center"/>
              <w:rPr>
                <w:b/>
                <w:bCs/>
              </w:rPr>
            </w:pPr>
            <w:r w:rsidRPr="00DE2067">
              <w:rPr>
                <w:b/>
                <w:bCs/>
              </w:rPr>
              <w:t>Non-tribal HU</w:t>
            </w:r>
            <w:r w:rsidRPr="00DE2067">
              <w:rPr>
                <w:b/>
                <w:bCs/>
              </w:rPr>
              <w:br/>
              <w:t>(000s)</w:t>
            </w:r>
          </w:p>
        </w:tc>
        <w:tc>
          <w:tcPr>
            <w:tcW w:w="815" w:type="dxa"/>
            <w:tcBorders>
              <w:top w:val="single" w:sz="4" w:space="0" w:color="auto"/>
              <w:left w:val="nil"/>
              <w:bottom w:val="single" w:sz="4" w:space="0" w:color="auto"/>
              <w:right w:val="nil"/>
            </w:tcBorders>
            <w:shd w:val="clear" w:color="auto" w:fill="auto"/>
            <w:vAlign w:val="bottom"/>
            <w:hideMark/>
          </w:tcPr>
          <w:p w:rsidR="005A648E" w:rsidRPr="00DE2067" w:rsidP="005D17A3" w14:paraId="09D37998" w14:textId="77777777">
            <w:pPr>
              <w:jc w:val="center"/>
              <w:rPr>
                <w:b/>
                <w:bCs/>
              </w:rPr>
            </w:pPr>
            <w:r w:rsidRPr="00DE2067">
              <w:rPr>
                <w:b/>
                <w:bCs/>
              </w:rPr>
              <w:t>Tribal HU</w:t>
            </w:r>
            <w:r w:rsidRPr="00DE2067">
              <w:rPr>
                <w:b/>
                <w:bCs/>
              </w:rPr>
              <w:br/>
              <w:t>(000s)</w:t>
            </w:r>
          </w:p>
        </w:tc>
        <w:tc>
          <w:tcPr>
            <w:tcW w:w="733" w:type="dxa"/>
            <w:tcBorders>
              <w:top w:val="single" w:sz="4" w:space="0" w:color="auto"/>
              <w:left w:val="nil"/>
              <w:bottom w:val="single" w:sz="4" w:space="0" w:color="auto"/>
              <w:right w:val="nil"/>
            </w:tcBorders>
            <w:shd w:val="clear" w:color="auto" w:fill="auto"/>
            <w:vAlign w:val="bottom"/>
            <w:hideMark/>
          </w:tcPr>
          <w:p w:rsidR="005A648E" w:rsidRPr="00DE2067" w:rsidP="005D17A3" w14:paraId="10EC8055" w14:textId="77777777">
            <w:pPr>
              <w:jc w:val="center"/>
              <w:rPr>
                <w:b/>
                <w:bCs/>
                <w:i/>
                <w:iCs/>
              </w:rPr>
            </w:pPr>
            <w:r w:rsidRPr="00DE2067">
              <w:rPr>
                <w:b/>
                <w:bCs/>
                <w:i/>
                <w:iCs/>
              </w:rPr>
              <w:t>Non-tribal</w:t>
            </w:r>
          </w:p>
        </w:tc>
        <w:tc>
          <w:tcPr>
            <w:tcW w:w="779" w:type="dxa"/>
            <w:tcBorders>
              <w:top w:val="single" w:sz="4" w:space="0" w:color="auto"/>
              <w:left w:val="nil"/>
              <w:bottom w:val="single" w:sz="4" w:space="0" w:color="auto"/>
              <w:right w:val="single" w:sz="4" w:space="0" w:color="auto"/>
            </w:tcBorders>
            <w:shd w:val="clear" w:color="auto" w:fill="auto"/>
            <w:vAlign w:val="bottom"/>
            <w:hideMark/>
          </w:tcPr>
          <w:p w:rsidR="005A648E" w:rsidRPr="00DE2067" w:rsidP="005D17A3" w14:paraId="5C03F4A0" w14:textId="77777777">
            <w:pPr>
              <w:jc w:val="center"/>
              <w:rPr>
                <w:b/>
                <w:bCs/>
                <w:i/>
                <w:iCs/>
              </w:rPr>
            </w:pPr>
            <w:r w:rsidRPr="00DE2067">
              <w:rPr>
                <w:b/>
                <w:bCs/>
                <w:i/>
                <w:iCs/>
              </w:rPr>
              <w:t>Tribal</w:t>
            </w:r>
          </w:p>
        </w:tc>
        <w:tc>
          <w:tcPr>
            <w:tcW w:w="931" w:type="dxa"/>
            <w:tcBorders>
              <w:top w:val="single" w:sz="4" w:space="0" w:color="auto"/>
              <w:left w:val="nil"/>
              <w:bottom w:val="single" w:sz="4" w:space="0" w:color="auto"/>
              <w:right w:val="nil"/>
            </w:tcBorders>
            <w:shd w:val="clear" w:color="auto" w:fill="auto"/>
            <w:vAlign w:val="bottom"/>
            <w:hideMark/>
          </w:tcPr>
          <w:p w:rsidR="005A648E" w:rsidRPr="00DE2067" w:rsidP="005D17A3" w14:paraId="1ECC7D5C" w14:textId="77777777">
            <w:pPr>
              <w:jc w:val="center"/>
              <w:rPr>
                <w:b/>
                <w:bCs/>
              </w:rPr>
            </w:pPr>
            <w:r w:rsidRPr="00DE2067">
              <w:rPr>
                <w:b/>
                <w:bCs/>
              </w:rPr>
              <w:t>Non-tribal HU</w:t>
            </w:r>
            <w:r w:rsidRPr="00DE2067">
              <w:rPr>
                <w:b/>
                <w:bCs/>
              </w:rPr>
              <w:br/>
              <w:t>(000s)</w:t>
            </w:r>
          </w:p>
        </w:tc>
        <w:tc>
          <w:tcPr>
            <w:tcW w:w="815" w:type="dxa"/>
            <w:tcBorders>
              <w:top w:val="single" w:sz="4" w:space="0" w:color="auto"/>
              <w:left w:val="nil"/>
              <w:bottom w:val="single" w:sz="4" w:space="0" w:color="auto"/>
              <w:right w:val="nil"/>
            </w:tcBorders>
            <w:shd w:val="clear" w:color="auto" w:fill="auto"/>
            <w:vAlign w:val="bottom"/>
            <w:hideMark/>
          </w:tcPr>
          <w:p w:rsidR="005A648E" w:rsidRPr="00DE2067" w:rsidP="005D17A3" w14:paraId="25F20718" w14:textId="77777777">
            <w:pPr>
              <w:jc w:val="center"/>
              <w:rPr>
                <w:b/>
                <w:bCs/>
              </w:rPr>
            </w:pPr>
            <w:r w:rsidRPr="00DE2067">
              <w:rPr>
                <w:b/>
                <w:bCs/>
              </w:rPr>
              <w:t>Tribal HU</w:t>
            </w:r>
            <w:r w:rsidRPr="00DE2067">
              <w:rPr>
                <w:b/>
                <w:bCs/>
              </w:rPr>
              <w:br/>
              <w:t>(000s)</w:t>
            </w:r>
          </w:p>
        </w:tc>
        <w:tc>
          <w:tcPr>
            <w:tcW w:w="733" w:type="dxa"/>
            <w:tcBorders>
              <w:top w:val="single" w:sz="4" w:space="0" w:color="auto"/>
              <w:left w:val="nil"/>
              <w:bottom w:val="single" w:sz="4" w:space="0" w:color="auto"/>
              <w:right w:val="nil"/>
            </w:tcBorders>
            <w:shd w:val="clear" w:color="auto" w:fill="auto"/>
            <w:vAlign w:val="bottom"/>
            <w:hideMark/>
          </w:tcPr>
          <w:p w:rsidR="005A648E" w:rsidRPr="00DE2067" w:rsidP="005D17A3" w14:paraId="5106E0EF" w14:textId="77777777">
            <w:pPr>
              <w:jc w:val="center"/>
              <w:rPr>
                <w:b/>
                <w:bCs/>
                <w:i/>
                <w:iCs/>
              </w:rPr>
            </w:pPr>
            <w:r w:rsidRPr="00DE2067">
              <w:rPr>
                <w:b/>
                <w:bCs/>
                <w:i/>
                <w:iCs/>
              </w:rPr>
              <w:t>Non-tribal</w:t>
            </w:r>
          </w:p>
        </w:tc>
        <w:tc>
          <w:tcPr>
            <w:tcW w:w="779" w:type="dxa"/>
            <w:tcBorders>
              <w:top w:val="single" w:sz="4" w:space="0" w:color="auto"/>
              <w:left w:val="nil"/>
              <w:bottom w:val="single" w:sz="4" w:space="0" w:color="auto"/>
              <w:right w:val="single" w:sz="4" w:space="0" w:color="auto"/>
            </w:tcBorders>
            <w:shd w:val="clear" w:color="auto" w:fill="auto"/>
            <w:vAlign w:val="bottom"/>
            <w:hideMark/>
          </w:tcPr>
          <w:p w:rsidR="005A648E" w:rsidRPr="00DE2067" w:rsidP="005D17A3" w14:paraId="0FF01A07" w14:textId="77777777">
            <w:pPr>
              <w:jc w:val="center"/>
              <w:rPr>
                <w:b/>
                <w:bCs/>
                <w:i/>
                <w:iCs/>
              </w:rPr>
            </w:pPr>
            <w:r w:rsidRPr="00DE2067">
              <w:rPr>
                <w:b/>
                <w:bCs/>
                <w:i/>
                <w:iCs/>
              </w:rPr>
              <w:t>Tribal</w:t>
            </w:r>
          </w:p>
        </w:tc>
        <w:tc>
          <w:tcPr>
            <w:tcW w:w="931" w:type="dxa"/>
            <w:tcBorders>
              <w:top w:val="single" w:sz="4" w:space="0" w:color="auto"/>
              <w:left w:val="nil"/>
              <w:bottom w:val="single" w:sz="4" w:space="0" w:color="auto"/>
              <w:right w:val="nil"/>
            </w:tcBorders>
            <w:shd w:val="clear" w:color="auto" w:fill="auto"/>
            <w:vAlign w:val="bottom"/>
            <w:hideMark/>
          </w:tcPr>
          <w:p w:rsidR="005A648E" w:rsidRPr="00DE2067" w:rsidP="005D17A3" w14:paraId="092332EC" w14:textId="77777777">
            <w:pPr>
              <w:jc w:val="center"/>
              <w:rPr>
                <w:b/>
                <w:bCs/>
              </w:rPr>
            </w:pPr>
            <w:r w:rsidRPr="00DE2067">
              <w:rPr>
                <w:b/>
                <w:bCs/>
              </w:rPr>
              <w:t>Non-tribal HU</w:t>
            </w:r>
            <w:r w:rsidRPr="00DE2067">
              <w:rPr>
                <w:b/>
                <w:bCs/>
              </w:rPr>
              <w:br/>
              <w:t>(000s)</w:t>
            </w:r>
          </w:p>
        </w:tc>
        <w:tc>
          <w:tcPr>
            <w:tcW w:w="815" w:type="dxa"/>
            <w:tcBorders>
              <w:top w:val="single" w:sz="4" w:space="0" w:color="auto"/>
              <w:left w:val="nil"/>
              <w:bottom w:val="single" w:sz="4" w:space="0" w:color="auto"/>
              <w:right w:val="nil"/>
            </w:tcBorders>
            <w:shd w:val="clear" w:color="auto" w:fill="auto"/>
            <w:vAlign w:val="bottom"/>
            <w:hideMark/>
          </w:tcPr>
          <w:p w:rsidR="005A648E" w:rsidRPr="00DE2067" w:rsidP="005D17A3" w14:paraId="266539F0" w14:textId="77777777">
            <w:pPr>
              <w:jc w:val="center"/>
              <w:rPr>
                <w:b/>
                <w:bCs/>
              </w:rPr>
            </w:pPr>
            <w:r w:rsidRPr="00DE2067">
              <w:rPr>
                <w:b/>
                <w:bCs/>
              </w:rPr>
              <w:t>Tribal HU</w:t>
            </w:r>
            <w:r w:rsidRPr="00DE2067">
              <w:rPr>
                <w:b/>
                <w:bCs/>
              </w:rPr>
              <w:br/>
              <w:t>(000s)</w:t>
            </w:r>
          </w:p>
        </w:tc>
        <w:tc>
          <w:tcPr>
            <w:tcW w:w="733" w:type="dxa"/>
            <w:tcBorders>
              <w:top w:val="single" w:sz="4" w:space="0" w:color="auto"/>
              <w:left w:val="nil"/>
              <w:bottom w:val="single" w:sz="4" w:space="0" w:color="auto"/>
              <w:right w:val="nil"/>
            </w:tcBorders>
            <w:shd w:val="clear" w:color="auto" w:fill="auto"/>
            <w:vAlign w:val="bottom"/>
            <w:hideMark/>
          </w:tcPr>
          <w:p w:rsidR="005A648E" w:rsidRPr="00DE2067" w:rsidP="005D17A3" w14:paraId="146C7A7E" w14:textId="77777777">
            <w:pPr>
              <w:jc w:val="center"/>
              <w:rPr>
                <w:b/>
                <w:bCs/>
                <w:i/>
                <w:iCs/>
              </w:rPr>
            </w:pPr>
            <w:r w:rsidRPr="00DE2067">
              <w:rPr>
                <w:b/>
                <w:bCs/>
                <w:i/>
                <w:iCs/>
              </w:rPr>
              <w:t>Non-tribal</w:t>
            </w:r>
          </w:p>
        </w:tc>
        <w:tc>
          <w:tcPr>
            <w:tcW w:w="779" w:type="dxa"/>
            <w:tcBorders>
              <w:top w:val="single" w:sz="4" w:space="0" w:color="auto"/>
              <w:left w:val="nil"/>
              <w:bottom w:val="single" w:sz="4" w:space="0" w:color="auto"/>
              <w:right w:val="single" w:sz="8" w:space="0" w:color="auto"/>
            </w:tcBorders>
            <w:shd w:val="clear" w:color="auto" w:fill="auto"/>
            <w:vAlign w:val="bottom"/>
            <w:hideMark/>
          </w:tcPr>
          <w:p w:rsidR="005A648E" w:rsidRPr="00DE2067" w:rsidP="005D17A3" w14:paraId="20A3E022" w14:textId="77777777">
            <w:pPr>
              <w:jc w:val="center"/>
              <w:rPr>
                <w:b/>
                <w:bCs/>
                <w:i/>
                <w:iCs/>
              </w:rPr>
            </w:pPr>
            <w:r w:rsidRPr="00DE2067">
              <w:rPr>
                <w:b/>
                <w:bCs/>
                <w:i/>
                <w:iCs/>
              </w:rPr>
              <w:t>Tribal</w:t>
            </w:r>
          </w:p>
        </w:tc>
      </w:tr>
      <w:tr w14:paraId="3446C659" w14:textId="77777777" w:rsidTr="005A648E">
        <w:tblPrEx>
          <w:tblW w:w="10895" w:type="dxa"/>
          <w:jc w:val="center"/>
          <w:tblLook w:val="04A0"/>
        </w:tblPrEx>
        <w:trPr>
          <w:trHeight w:val="228"/>
          <w:jc w:val="center"/>
        </w:trPr>
        <w:tc>
          <w:tcPr>
            <w:tcW w:w="1121" w:type="dxa"/>
            <w:tcBorders>
              <w:top w:val="single" w:sz="4" w:space="0" w:color="auto"/>
              <w:left w:val="single" w:sz="8" w:space="0" w:color="auto"/>
              <w:bottom w:val="nil"/>
              <w:right w:val="nil"/>
            </w:tcBorders>
            <w:shd w:val="clear" w:color="auto" w:fill="auto"/>
            <w:noWrap/>
            <w:vAlign w:val="bottom"/>
            <w:hideMark/>
          </w:tcPr>
          <w:p w:rsidR="005A648E" w:rsidRPr="00DE2067" w:rsidP="005D17A3" w14:paraId="54DE1283" w14:textId="77777777">
            <w:pPr>
              <w:jc w:val="right"/>
            </w:pPr>
            <w:r w:rsidRPr="00DE2067">
              <w:t>0</w:t>
            </w:r>
          </w:p>
        </w:tc>
        <w:tc>
          <w:tcPr>
            <w:tcW w:w="931" w:type="dxa"/>
            <w:tcBorders>
              <w:top w:val="single" w:sz="4" w:space="0" w:color="auto"/>
              <w:left w:val="single" w:sz="4" w:space="0" w:color="auto"/>
              <w:bottom w:val="nil"/>
              <w:right w:val="nil"/>
            </w:tcBorders>
            <w:shd w:val="clear" w:color="auto" w:fill="auto"/>
            <w:noWrap/>
            <w:vAlign w:val="bottom"/>
            <w:hideMark/>
          </w:tcPr>
          <w:p w:rsidR="005A648E" w:rsidRPr="00DE2067" w:rsidP="005D17A3" w14:paraId="6678FC96" w14:textId="77777777">
            <w:pPr>
              <w:jc w:val="center"/>
            </w:pPr>
            <w:r w:rsidRPr="00DE2067">
              <w:t>17,505</w:t>
            </w:r>
          </w:p>
        </w:tc>
        <w:tc>
          <w:tcPr>
            <w:tcW w:w="815" w:type="dxa"/>
            <w:tcBorders>
              <w:top w:val="single" w:sz="4" w:space="0" w:color="auto"/>
              <w:left w:val="nil"/>
              <w:bottom w:val="nil"/>
              <w:right w:val="nil"/>
            </w:tcBorders>
            <w:shd w:val="clear" w:color="auto" w:fill="auto"/>
            <w:noWrap/>
            <w:vAlign w:val="bottom"/>
            <w:hideMark/>
          </w:tcPr>
          <w:p w:rsidR="005A648E" w:rsidRPr="00DE2067" w:rsidP="005D17A3" w14:paraId="4A7EEDE5" w14:textId="77777777">
            <w:pPr>
              <w:jc w:val="center"/>
            </w:pPr>
            <w:r w:rsidRPr="00DE2067">
              <w:t>782</w:t>
            </w:r>
          </w:p>
        </w:tc>
        <w:tc>
          <w:tcPr>
            <w:tcW w:w="733" w:type="dxa"/>
            <w:tcBorders>
              <w:top w:val="single" w:sz="4" w:space="0" w:color="auto"/>
              <w:left w:val="nil"/>
              <w:bottom w:val="nil"/>
              <w:right w:val="nil"/>
            </w:tcBorders>
            <w:shd w:val="clear" w:color="auto" w:fill="auto"/>
            <w:noWrap/>
            <w:vAlign w:val="bottom"/>
            <w:hideMark/>
          </w:tcPr>
          <w:p w:rsidR="005A648E" w:rsidRPr="00DE2067" w:rsidP="005D17A3" w14:paraId="02793726" w14:textId="77777777">
            <w:pPr>
              <w:jc w:val="center"/>
              <w:rPr>
                <w:iCs/>
              </w:rPr>
            </w:pPr>
            <w:r w:rsidRPr="00DE2067">
              <w:rPr>
                <w:iCs/>
              </w:rPr>
              <w:t>13%</w:t>
            </w:r>
          </w:p>
        </w:tc>
        <w:tc>
          <w:tcPr>
            <w:tcW w:w="779" w:type="dxa"/>
            <w:tcBorders>
              <w:top w:val="single" w:sz="4" w:space="0" w:color="auto"/>
              <w:left w:val="nil"/>
              <w:bottom w:val="nil"/>
              <w:right w:val="single" w:sz="4" w:space="0" w:color="auto"/>
            </w:tcBorders>
            <w:shd w:val="clear" w:color="auto" w:fill="auto"/>
            <w:noWrap/>
            <w:vAlign w:val="bottom"/>
            <w:hideMark/>
          </w:tcPr>
          <w:p w:rsidR="005A648E" w:rsidRPr="00DE2067" w:rsidP="005D17A3" w14:paraId="7F454ED2" w14:textId="77777777">
            <w:pPr>
              <w:jc w:val="center"/>
              <w:rPr>
                <w:iCs/>
              </w:rPr>
            </w:pPr>
            <w:r w:rsidRPr="00DE2067">
              <w:rPr>
                <w:iCs/>
              </w:rPr>
              <w:t>45%</w:t>
            </w:r>
          </w:p>
        </w:tc>
        <w:tc>
          <w:tcPr>
            <w:tcW w:w="931" w:type="dxa"/>
            <w:tcBorders>
              <w:top w:val="single" w:sz="4" w:space="0" w:color="auto"/>
              <w:left w:val="nil"/>
              <w:bottom w:val="nil"/>
              <w:right w:val="nil"/>
            </w:tcBorders>
            <w:shd w:val="clear" w:color="auto" w:fill="auto"/>
            <w:noWrap/>
            <w:vAlign w:val="bottom"/>
            <w:hideMark/>
          </w:tcPr>
          <w:p w:rsidR="005A648E" w:rsidRPr="00DE2067" w:rsidP="005D17A3" w14:paraId="20EDB9F7" w14:textId="77777777">
            <w:pPr>
              <w:jc w:val="center"/>
            </w:pPr>
            <w:r w:rsidRPr="00DE2067">
              <w:t>17,505</w:t>
            </w:r>
          </w:p>
        </w:tc>
        <w:tc>
          <w:tcPr>
            <w:tcW w:w="815" w:type="dxa"/>
            <w:tcBorders>
              <w:top w:val="single" w:sz="4" w:space="0" w:color="auto"/>
              <w:left w:val="nil"/>
              <w:bottom w:val="nil"/>
              <w:right w:val="nil"/>
            </w:tcBorders>
            <w:shd w:val="clear" w:color="auto" w:fill="auto"/>
            <w:noWrap/>
            <w:vAlign w:val="bottom"/>
            <w:hideMark/>
          </w:tcPr>
          <w:p w:rsidR="005A648E" w:rsidRPr="00DE2067" w:rsidP="005D17A3" w14:paraId="5B0403E2" w14:textId="77777777">
            <w:pPr>
              <w:jc w:val="center"/>
            </w:pPr>
            <w:r w:rsidRPr="00DE2067">
              <w:t>782</w:t>
            </w:r>
          </w:p>
        </w:tc>
        <w:tc>
          <w:tcPr>
            <w:tcW w:w="733" w:type="dxa"/>
            <w:tcBorders>
              <w:top w:val="single" w:sz="4" w:space="0" w:color="auto"/>
              <w:left w:val="nil"/>
              <w:bottom w:val="nil"/>
              <w:right w:val="nil"/>
            </w:tcBorders>
            <w:shd w:val="clear" w:color="auto" w:fill="auto"/>
            <w:noWrap/>
            <w:vAlign w:val="bottom"/>
            <w:hideMark/>
          </w:tcPr>
          <w:p w:rsidR="005A648E" w:rsidRPr="00DE2067" w:rsidP="005D17A3" w14:paraId="4415D60F" w14:textId="77777777">
            <w:pPr>
              <w:jc w:val="center"/>
              <w:rPr>
                <w:iCs/>
              </w:rPr>
            </w:pPr>
            <w:r w:rsidRPr="00DE2067">
              <w:rPr>
                <w:iCs/>
              </w:rPr>
              <w:t>13%</w:t>
            </w:r>
          </w:p>
        </w:tc>
        <w:tc>
          <w:tcPr>
            <w:tcW w:w="779" w:type="dxa"/>
            <w:tcBorders>
              <w:top w:val="single" w:sz="4" w:space="0" w:color="auto"/>
              <w:left w:val="nil"/>
              <w:bottom w:val="nil"/>
              <w:right w:val="single" w:sz="4" w:space="0" w:color="auto"/>
            </w:tcBorders>
            <w:shd w:val="clear" w:color="auto" w:fill="auto"/>
            <w:noWrap/>
            <w:vAlign w:val="bottom"/>
            <w:hideMark/>
          </w:tcPr>
          <w:p w:rsidR="005A648E" w:rsidRPr="00DE2067" w:rsidP="005D17A3" w14:paraId="14C1D8F1" w14:textId="77777777">
            <w:pPr>
              <w:jc w:val="center"/>
              <w:rPr>
                <w:iCs/>
              </w:rPr>
            </w:pPr>
            <w:r w:rsidRPr="00DE2067">
              <w:rPr>
                <w:iCs/>
              </w:rPr>
              <w:t>45%</w:t>
            </w:r>
          </w:p>
        </w:tc>
        <w:tc>
          <w:tcPr>
            <w:tcW w:w="931" w:type="dxa"/>
            <w:tcBorders>
              <w:top w:val="single" w:sz="4" w:space="0" w:color="auto"/>
              <w:left w:val="nil"/>
              <w:bottom w:val="nil"/>
              <w:right w:val="nil"/>
            </w:tcBorders>
            <w:shd w:val="clear" w:color="auto" w:fill="auto"/>
            <w:noWrap/>
            <w:vAlign w:val="bottom"/>
            <w:hideMark/>
          </w:tcPr>
          <w:p w:rsidR="005A648E" w:rsidRPr="00DE2067" w:rsidP="005D17A3" w14:paraId="6BAC40B5" w14:textId="77777777">
            <w:pPr>
              <w:jc w:val="center"/>
            </w:pPr>
            <w:r w:rsidRPr="00DE2067">
              <w:t>18,127</w:t>
            </w:r>
          </w:p>
        </w:tc>
        <w:tc>
          <w:tcPr>
            <w:tcW w:w="815" w:type="dxa"/>
            <w:tcBorders>
              <w:top w:val="single" w:sz="4" w:space="0" w:color="auto"/>
              <w:left w:val="nil"/>
              <w:bottom w:val="nil"/>
              <w:right w:val="nil"/>
            </w:tcBorders>
            <w:shd w:val="clear" w:color="auto" w:fill="auto"/>
            <w:noWrap/>
            <w:vAlign w:val="bottom"/>
            <w:hideMark/>
          </w:tcPr>
          <w:p w:rsidR="005A648E" w:rsidRPr="00DE2067" w:rsidP="005D17A3" w14:paraId="4A3B5192" w14:textId="77777777">
            <w:pPr>
              <w:jc w:val="center"/>
            </w:pPr>
            <w:r w:rsidRPr="00DE2067">
              <w:t>794</w:t>
            </w:r>
          </w:p>
        </w:tc>
        <w:tc>
          <w:tcPr>
            <w:tcW w:w="733" w:type="dxa"/>
            <w:tcBorders>
              <w:top w:val="single" w:sz="4" w:space="0" w:color="auto"/>
              <w:left w:val="nil"/>
              <w:bottom w:val="nil"/>
              <w:right w:val="nil"/>
            </w:tcBorders>
            <w:shd w:val="clear" w:color="auto" w:fill="auto"/>
            <w:noWrap/>
            <w:vAlign w:val="bottom"/>
            <w:hideMark/>
          </w:tcPr>
          <w:p w:rsidR="005A648E" w:rsidRPr="00DE2067" w:rsidP="005D17A3" w14:paraId="60B52494" w14:textId="77777777">
            <w:pPr>
              <w:jc w:val="center"/>
              <w:rPr>
                <w:iCs/>
              </w:rPr>
            </w:pPr>
            <w:r w:rsidRPr="00DE2067">
              <w:rPr>
                <w:iCs/>
              </w:rPr>
              <w:t>13%</w:t>
            </w:r>
          </w:p>
        </w:tc>
        <w:tc>
          <w:tcPr>
            <w:tcW w:w="779" w:type="dxa"/>
            <w:tcBorders>
              <w:top w:val="single" w:sz="4" w:space="0" w:color="auto"/>
              <w:left w:val="nil"/>
              <w:bottom w:val="nil"/>
              <w:right w:val="single" w:sz="8" w:space="0" w:color="auto"/>
            </w:tcBorders>
            <w:shd w:val="clear" w:color="auto" w:fill="auto"/>
            <w:noWrap/>
            <w:vAlign w:val="bottom"/>
            <w:hideMark/>
          </w:tcPr>
          <w:p w:rsidR="005A648E" w:rsidRPr="00DE2067" w:rsidP="005D17A3" w14:paraId="20493A1A" w14:textId="77777777">
            <w:pPr>
              <w:jc w:val="center"/>
              <w:rPr>
                <w:iCs/>
              </w:rPr>
            </w:pPr>
            <w:r w:rsidRPr="00DE2067">
              <w:rPr>
                <w:iCs/>
              </w:rPr>
              <w:t>45%</w:t>
            </w:r>
          </w:p>
        </w:tc>
      </w:tr>
      <w:tr w14:paraId="1020DABE" w14:textId="77777777" w:rsidTr="005A648E">
        <w:tblPrEx>
          <w:tblW w:w="10895" w:type="dxa"/>
          <w:jc w:val="center"/>
          <w:tblLook w:val="04A0"/>
        </w:tblPrEx>
        <w:trPr>
          <w:trHeight w:val="228"/>
          <w:jc w:val="center"/>
        </w:trPr>
        <w:tc>
          <w:tcPr>
            <w:tcW w:w="1121" w:type="dxa"/>
            <w:tcBorders>
              <w:top w:val="nil"/>
              <w:left w:val="single" w:sz="8" w:space="0" w:color="auto"/>
              <w:bottom w:val="nil"/>
              <w:right w:val="nil"/>
            </w:tcBorders>
            <w:shd w:val="clear" w:color="auto" w:fill="auto"/>
            <w:noWrap/>
            <w:vAlign w:val="bottom"/>
            <w:hideMark/>
          </w:tcPr>
          <w:p w:rsidR="005A648E" w:rsidRPr="00DE2067" w:rsidP="005D17A3" w14:paraId="1A340213" w14:textId="77777777">
            <w:pPr>
              <w:jc w:val="right"/>
            </w:pPr>
            <w:r w:rsidRPr="00DE2067">
              <w:t>1</w:t>
            </w:r>
          </w:p>
        </w:tc>
        <w:tc>
          <w:tcPr>
            <w:tcW w:w="931" w:type="dxa"/>
            <w:tcBorders>
              <w:top w:val="nil"/>
              <w:left w:val="single" w:sz="4" w:space="0" w:color="auto"/>
              <w:bottom w:val="nil"/>
              <w:right w:val="nil"/>
            </w:tcBorders>
            <w:shd w:val="clear" w:color="auto" w:fill="auto"/>
            <w:noWrap/>
            <w:vAlign w:val="bottom"/>
            <w:hideMark/>
          </w:tcPr>
          <w:p w:rsidR="005A648E" w:rsidRPr="00DE2067" w:rsidP="005D17A3" w14:paraId="58406027" w14:textId="77777777">
            <w:pPr>
              <w:jc w:val="center"/>
            </w:pPr>
            <w:r w:rsidRPr="00DE2067">
              <w:t>56,427</w:t>
            </w:r>
          </w:p>
        </w:tc>
        <w:tc>
          <w:tcPr>
            <w:tcW w:w="815" w:type="dxa"/>
            <w:tcBorders>
              <w:top w:val="nil"/>
              <w:left w:val="nil"/>
              <w:bottom w:val="nil"/>
              <w:right w:val="nil"/>
            </w:tcBorders>
            <w:shd w:val="clear" w:color="auto" w:fill="auto"/>
            <w:noWrap/>
            <w:vAlign w:val="bottom"/>
            <w:hideMark/>
          </w:tcPr>
          <w:p w:rsidR="005A648E" w:rsidRPr="00DE2067" w:rsidP="005D17A3" w14:paraId="38B59C6C" w14:textId="77777777">
            <w:pPr>
              <w:jc w:val="center"/>
            </w:pPr>
            <w:r w:rsidRPr="00DE2067">
              <w:t>765</w:t>
            </w:r>
          </w:p>
        </w:tc>
        <w:tc>
          <w:tcPr>
            <w:tcW w:w="733" w:type="dxa"/>
            <w:tcBorders>
              <w:top w:val="nil"/>
              <w:left w:val="nil"/>
              <w:bottom w:val="nil"/>
              <w:right w:val="nil"/>
            </w:tcBorders>
            <w:shd w:val="clear" w:color="auto" w:fill="auto"/>
            <w:noWrap/>
            <w:vAlign w:val="bottom"/>
            <w:hideMark/>
          </w:tcPr>
          <w:p w:rsidR="005A648E" w:rsidRPr="00DE2067" w:rsidP="005D17A3" w14:paraId="2A3EB66C" w14:textId="77777777">
            <w:pPr>
              <w:jc w:val="center"/>
              <w:rPr>
                <w:iCs/>
              </w:rPr>
            </w:pPr>
            <w:r w:rsidRPr="00DE2067">
              <w:rPr>
                <w:iCs/>
              </w:rPr>
              <w:t>41%</w:t>
            </w:r>
          </w:p>
        </w:tc>
        <w:tc>
          <w:tcPr>
            <w:tcW w:w="779" w:type="dxa"/>
            <w:tcBorders>
              <w:top w:val="nil"/>
              <w:left w:val="nil"/>
              <w:bottom w:val="nil"/>
              <w:right w:val="single" w:sz="4" w:space="0" w:color="auto"/>
            </w:tcBorders>
            <w:shd w:val="clear" w:color="auto" w:fill="auto"/>
            <w:noWrap/>
            <w:vAlign w:val="bottom"/>
            <w:hideMark/>
          </w:tcPr>
          <w:p w:rsidR="005A648E" w:rsidRPr="00DE2067" w:rsidP="005D17A3" w14:paraId="42E9293F" w14:textId="77777777">
            <w:pPr>
              <w:jc w:val="center"/>
              <w:rPr>
                <w:iCs/>
              </w:rPr>
            </w:pPr>
            <w:r w:rsidRPr="00DE2067">
              <w:rPr>
                <w:iCs/>
              </w:rPr>
              <w:t>43%</w:t>
            </w:r>
          </w:p>
        </w:tc>
        <w:tc>
          <w:tcPr>
            <w:tcW w:w="931" w:type="dxa"/>
            <w:tcBorders>
              <w:top w:val="nil"/>
              <w:left w:val="nil"/>
              <w:bottom w:val="nil"/>
              <w:right w:val="nil"/>
            </w:tcBorders>
            <w:shd w:val="clear" w:color="auto" w:fill="auto"/>
            <w:noWrap/>
            <w:vAlign w:val="bottom"/>
            <w:hideMark/>
          </w:tcPr>
          <w:p w:rsidR="005A648E" w:rsidRPr="00DE2067" w:rsidP="005D17A3" w14:paraId="05E031D4" w14:textId="77777777">
            <w:pPr>
              <w:jc w:val="center"/>
            </w:pPr>
            <w:r w:rsidRPr="00DE2067">
              <w:t>56,427</w:t>
            </w:r>
          </w:p>
        </w:tc>
        <w:tc>
          <w:tcPr>
            <w:tcW w:w="815" w:type="dxa"/>
            <w:tcBorders>
              <w:top w:val="nil"/>
              <w:left w:val="nil"/>
              <w:bottom w:val="nil"/>
              <w:right w:val="nil"/>
            </w:tcBorders>
            <w:shd w:val="clear" w:color="auto" w:fill="auto"/>
            <w:noWrap/>
            <w:vAlign w:val="bottom"/>
            <w:hideMark/>
          </w:tcPr>
          <w:p w:rsidR="005A648E" w:rsidRPr="00DE2067" w:rsidP="005D17A3" w14:paraId="04E440A0" w14:textId="77777777">
            <w:pPr>
              <w:jc w:val="center"/>
            </w:pPr>
            <w:r w:rsidRPr="00DE2067">
              <w:t>765</w:t>
            </w:r>
          </w:p>
        </w:tc>
        <w:tc>
          <w:tcPr>
            <w:tcW w:w="733" w:type="dxa"/>
            <w:tcBorders>
              <w:top w:val="nil"/>
              <w:left w:val="nil"/>
              <w:bottom w:val="nil"/>
              <w:right w:val="nil"/>
            </w:tcBorders>
            <w:shd w:val="clear" w:color="auto" w:fill="auto"/>
            <w:noWrap/>
            <w:vAlign w:val="bottom"/>
            <w:hideMark/>
          </w:tcPr>
          <w:p w:rsidR="005A648E" w:rsidRPr="00DE2067" w:rsidP="005D17A3" w14:paraId="438FECDA" w14:textId="77777777">
            <w:pPr>
              <w:jc w:val="center"/>
              <w:rPr>
                <w:iCs/>
              </w:rPr>
            </w:pPr>
            <w:r w:rsidRPr="00DE2067">
              <w:rPr>
                <w:iCs/>
              </w:rPr>
              <w:t>41%</w:t>
            </w:r>
          </w:p>
        </w:tc>
        <w:tc>
          <w:tcPr>
            <w:tcW w:w="779" w:type="dxa"/>
            <w:tcBorders>
              <w:top w:val="nil"/>
              <w:left w:val="nil"/>
              <w:bottom w:val="nil"/>
              <w:right w:val="single" w:sz="4" w:space="0" w:color="auto"/>
            </w:tcBorders>
            <w:shd w:val="clear" w:color="auto" w:fill="auto"/>
            <w:noWrap/>
            <w:vAlign w:val="bottom"/>
            <w:hideMark/>
          </w:tcPr>
          <w:p w:rsidR="005A648E" w:rsidRPr="00DE2067" w:rsidP="005D17A3" w14:paraId="037E3FEA" w14:textId="77777777">
            <w:pPr>
              <w:jc w:val="center"/>
              <w:rPr>
                <w:iCs/>
              </w:rPr>
            </w:pPr>
            <w:r w:rsidRPr="00DE2067">
              <w:rPr>
                <w:iCs/>
              </w:rPr>
              <w:t>43%</w:t>
            </w:r>
          </w:p>
        </w:tc>
        <w:tc>
          <w:tcPr>
            <w:tcW w:w="931" w:type="dxa"/>
            <w:tcBorders>
              <w:top w:val="nil"/>
              <w:left w:val="nil"/>
              <w:bottom w:val="nil"/>
              <w:right w:val="nil"/>
            </w:tcBorders>
            <w:shd w:val="clear" w:color="auto" w:fill="auto"/>
            <w:noWrap/>
            <w:vAlign w:val="bottom"/>
            <w:hideMark/>
          </w:tcPr>
          <w:p w:rsidR="005A648E" w:rsidRPr="00DE2067" w:rsidP="005D17A3" w14:paraId="1D66A9E2" w14:textId="77777777">
            <w:pPr>
              <w:jc w:val="center"/>
            </w:pPr>
            <w:r w:rsidRPr="00DE2067">
              <w:t>59,162</w:t>
            </w:r>
          </w:p>
        </w:tc>
        <w:tc>
          <w:tcPr>
            <w:tcW w:w="815" w:type="dxa"/>
            <w:tcBorders>
              <w:top w:val="nil"/>
              <w:left w:val="nil"/>
              <w:bottom w:val="nil"/>
              <w:right w:val="nil"/>
            </w:tcBorders>
            <w:shd w:val="clear" w:color="auto" w:fill="auto"/>
            <w:noWrap/>
            <w:vAlign w:val="bottom"/>
            <w:hideMark/>
          </w:tcPr>
          <w:p w:rsidR="005A648E" w:rsidRPr="00DE2067" w:rsidP="005D17A3" w14:paraId="06900D96" w14:textId="77777777">
            <w:pPr>
              <w:jc w:val="center"/>
            </w:pPr>
            <w:r w:rsidRPr="00DE2067">
              <w:t>757</w:t>
            </w:r>
          </w:p>
        </w:tc>
        <w:tc>
          <w:tcPr>
            <w:tcW w:w="733" w:type="dxa"/>
            <w:tcBorders>
              <w:top w:val="nil"/>
              <w:left w:val="nil"/>
              <w:bottom w:val="nil"/>
              <w:right w:val="nil"/>
            </w:tcBorders>
            <w:shd w:val="clear" w:color="auto" w:fill="auto"/>
            <w:noWrap/>
            <w:vAlign w:val="bottom"/>
            <w:hideMark/>
          </w:tcPr>
          <w:p w:rsidR="005A648E" w:rsidRPr="00DE2067" w:rsidP="005D17A3" w14:paraId="5F65D5BC" w14:textId="77777777">
            <w:pPr>
              <w:jc w:val="center"/>
              <w:rPr>
                <w:iCs/>
              </w:rPr>
            </w:pPr>
            <w:r w:rsidRPr="00DE2067">
              <w:rPr>
                <w:iCs/>
              </w:rPr>
              <w:t>43%</w:t>
            </w:r>
          </w:p>
        </w:tc>
        <w:tc>
          <w:tcPr>
            <w:tcW w:w="779" w:type="dxa"/>
            <w:tcBorders>
              <w:top w:val="nil"/>
              <w:left w:val="nil"/>
              <w:bottom w:val="nil"/>
              <w:right w:val="single" w:sz="8" w:space="0" w:color="auto"/>
            </w:tcBorders>
            <w:shd w:val="clear" w:color="auto" w:fill="auto"/>
            <w:noWrap/>
            <w:vAlign w:val="bottom"/>
            <w:hideMark/>
          </w:tcPr>
          <w:p w:rsidR="005A648E" w:rsidRPr="00DE2067" w:rsidP="005D17A3" w14:paraId="60C56782" w14:textId="77777777">
            <w:pPr>
              <w:jc w:val="center"/>
              <w:rPr>
                <w:iCs/>
              </w:rPr>
            </w:pPr>
            <w:r w:rsidRPr="00DE2067">
              <w:rPr>
                <w:iCs/>
              </w:rPr>
              <w:t>43%</w:t>
            </w:r>
          </w:p>
        </w:tc>
      </w:tr>
      <w:tr w14:paraId="55AE2F41" w14:textId="77777777" w:rsidTr="005A648E">
        <w:tblPrEx>
          <w:tblW w:w="10895" w:type="dxa"/>
          <w:jc w:val="center"/>
          <w:tblLook w:val="04A0"/>
        </w:tblPrEx>
        <w:trPr>
          <w:trHeight w:val="228"/>
          <w:jc w:val="center"/>
        </w:trPr>
        <w:tc>
          <w:tcPr>
            <w:tcW w:w="1121" w:type="dxa"/>
            <w:tcBorders>
              <w:top w:val="nil"/>
              <w:left w:val="single" w:sz="8" w:space="0" w:color="auto"/>
              <w:bottom w:val="nil"/>
              <w:right w:val="nil"/>
            </w:tcBorders>
            <w:shd w:val="clear" w:color="auto" w:fill="auto"/>
            <w:noWrap/>
            <w:vAlign w:val="bottom"/>
            <w:hideMark/>
          </w:tcPr>
          <w:p w:rsidR="005A648E" w:rsidRPr="00DE2067" w:rsidP="005D17A3" w14:paraId="57746FCE" w14:textId="77777777">
            <w:pPr>
              <w:jc w:val="right"/>
            </w:pPr>
            <w:r w:rsidRPr="00DE2067">
              <w:t>2</w:t>
            </w:r>
          </w:p>
        </w:tc>
        <w:tc>
          <w:tcPr>
            <w:tcW w:w="931" w:type="dxa"/>
            <w:tcBorders>
              <w:top w:val="nil"/>
              <w:left w:val="single" w:sz="4" w:space="0" w:color="auto"/>
              <w:bottom w:val="nil"/>
              <w:right w:val="nil"/>
            </w:tcBorders>
            <w:shd w:val="clear" w:color="auto" w:fill="auto"/>
            <w:noWrap/>
            <w:vAlign w:val="bottom"/>
            <w:hideMark/>
          </w:tcPr>
          <w:p w:rsidR="005A648E" w:rsidRPr="00DE2067" w:rsidP="005D17A3" w14:paraId="28F2284D" w14:textId="77777777">
            <w:pPr>
              <w:jc w:val="center"/>
            </w:pPr>
            <w:r w:rsidRPr="00DE2067">
              <w:t>48,587</w:t>
            </w:r>
          </w:p>
        </w:tc>
        <w:tc>
          <w:tcPr>
            <w:tcW w:w="815" w:type="dxa"/>
            <w:tcBorders>
              <w:top w:val="nil"/>
              <w:left w:val="nil"/>
              <w:bottom w:val="nil"/>
              <w:right w:val="nil"/>
            </w:tcBorders>
            <w:shd w:val="clear" w:color="auto" w:fill="auto"/>
            <w:noWrap/>
            <w:vAlign w:val="bottom"/>
            <w:hideMark/>
          </w:tcPr>
          <w:p w:rsidR="005A648E" w:rsidRPr="00DE2067" w:rsidP="005D17A3" w14:paraId="6D00CC1D" w14:textId="77777777">
            <w:pPr>
              <w:jc w:val="center"/>
            </w:pPr>
            <w:r w:rsidRPr="00DE2067">
              <w:t>187</w:t>
            </w:r>
          </w:p>
        </w:tc>
        <w:tc>
          <w:tcPr>
            <w:tcW w:w="733" w:type="dxa"/>
            <w:tcBorders>
              <w:top w:val="nil"/>
              <w:left w:val="nil"/>
              <w:bottom w:val="nil"/>
              <w:right w:val="nil"/>
            </w:tcBorders>
            <w:shd w:val="clear" w:color="auto" w:fill="auto"/>
            <w:noWrap/>
            <w:vAlign w:val="bottom"/>
            <w:hideMark/>
          </w:tcPr>
          <w:p w:rsidR="005A648E" w:rsidRPr="00DE2067" w:rsidP="005D17A3" w14:paraId="52A372F0" w14:textId="77777777">
            <w:pPr>
              <w:jc w:val="center"/>
              <w:rPr>
                <w:iCs/>
              </w:rPr>
            </w:pPr>
            <w:r w:rsidRPr="00DE2067">
              <w:rPr>
                <w:iCs/>
              </w:rPr>
              <w:t>35%</w:t>
            </w:r>
          </w:p>
        </w:tc>
        <w:tc>
          <w:tcPr>
            <w:tcW w:w="779" w:type="dxa"/>
            <w:tcBorders>
              <w:top w:val="nil"/>
              <w:left w:val="nil"/>
              <w:bottom w:val="nil"/>
              <w:right w:val="single" w:sz="4" w:space="0" w:color="auto"/>
            </w:tcBorders>
            <w:shd w:val="clear" w:color="auto" w:fill="auto"/>
            <w:noWrap/>
            <w:vAlign w:val="bottom"/>
            <w:hideMark/>
          </w:tcPr>
          <w:p w:rsidR="005A648E" w:rsidRPr="00DE2067" w:rsidP="005D17A3" w14:paraId="637D4B82" w14:textId="77777777">
            <w:pPr>
              <w:jc w:val="center"/>
              <w:rPr>
                <w:iCs/>
              </w:rPr>
            </w:pPr>
            <w:r w:rsidRPr="00DE2067">
              <w:rPr>
                <w:iCs/>
              </w:rPr>
              <w:t>11%</w:t>
            </w:r>
          </w:p>
        </w:tc>
        <w:tc>
          <w:tcPr>
            <w:tcW w:w="931" w:type="dxa"/>
            <w:tcBorders>
              <w:top w:val="nil"/>
              <w:left w:val="nil"/>
              <w:bottom w:val="nil"/>
              <w:right w:val="nil"/>
            </w:tcBorders>
            <w:shd w:val="clear" w:color="auto" w:fill="auto"/>
            <w:noWrap/>
            <w:vAlign w:val="bottom"/>
            <w:hideMark/>
          </w:tcPr>
          <w:p w:rsidR="005A648E" w:rsidRPr="00DE2067" w:rsidP="005D17A3" w14:paraId="58C6B0C3" w14:textId="77777777">
            <w:pPr>
              <w:jc w:val="center"/>
            </w:pPr>
            <w:r w:rsidRPr="00DE2067">
              <w:t>48,587</w:t>
            </w:r>
          </w:p>
        </w:tc>
        <w:tc>
          <w:tcPr>
            <w:tcW w:w="815" w:type="dxa"/>
            <w:tcBorders>
              <w:top w:val="nil"/>
              <w:left w:val="nil"/>
              <w:bottom w:val="nil"/>
              <w:right w:val="nil"/>
            </w:tcBorders>
            <w:shd w:val="clear" w:color="auto" w:fill="auto"/>
            <w:noWrap/>
            <w:vAlign w:val="bottom"/>
            <w:hideMark/>
          </w:tcPr>
          <w:p w:rsidR="005A648E" w:rsidRPr="00DE2067" w:rsidP="005D17A3" w14:paraId="59781051" w14:textId="77777777">
            <w:pPr>
              <w:jc w:val="center"/>
            </w:pPr>
            <w:r w:rsidRPr="00DE2067">
              <w:t>187</w:t>
            </w:r>
          </w:p>
        </w:tc>
        <w:tc>
          <w:tcPr>
            <w:tcW w:w="733" w:type="dxa"/>
            <w:tcBorders>
              <w:top w:val="nil"/>
              <w:left w:val="nil"/>
              <w:bottom w:val="nil"/>
              <w:right w:val="nil"/>
            </w:tcBorders>
            <w:shd w:val="clear" w:color="auto" w:fill="auto"/>
            <w:noWrap/>
            <w:vAlign w:val="bottom"/>
            <w:hideMark/>
          </w:tcPr>
          <w:p w:rsidR="005A648E" w:rsidRPr="00DE2067" w:rsidP="005D17A3" w14:paraId="6E16C758" w14:textId="77777777">
            <w:pPr>
              <w:jc w:val="center"/>
              <w:rPr>
                <w:iCs/>
              </w:rPr>
            </w:pPr>
            <w:r w:rsidRPr="00DE2067">
              <w:rPr>
                <w:iCs/>
              </w:rPr>
              <w:t>35%</w:t>
            </w:r>
          </w:p>
        </w:tc>
        <w:tc>
          <w:tcPr>
            <w:tcW w:w="779" w:type="dxa"/>
            <w:tcBorders>
              <w:top w:val="nil"/>
              <w:left w:val="nil"/>
              <w:bottom w:val="nil"/>
              <w:right w:val="single" w:sz="4" w:space="0" w:color="auto"/>
            </w:tcBorders>
            <w:shd w:val="clear" w:color="auto" w:fill="auto"/>
            <w:noWrap/>
            <w:vAlign w:val="bottom"/>
            <w:hideMark/>
          </w:tcPr>
          <w:p w:rsidR="005A648E" w:rsidRPr="00DE2067" w:rsidP="005D17A3" w14:paraId="7AEA6597" w14:textId="77777777">
            <w:pPr>
              <w:jc w:val="center"/>
              <w:rPr>
                <w:iCs/>
              </w:rPr>
            </w:pPr>
            <w:r w:rsidRPr="00DE2067">
              <w:rPr>
                <w:iCs/>
              </w:rPr>
              <w:t>11%</w:t>
            </w:r>
          </w:p>
        </w:tc>
        <w:tc>
          <w:tcPr>
            <w:tcW w:w="931" w:type="dxa"/>
            <w:tcBorders>
              <w:top w:val="nil"/>
              <w:left w:val="nil"/>
              <w:bottom w:val="nil"/>
              <w:right w:val="nil"/>
            </w:tcBorders>
            <w:shd w:val="clear" w:color="auto" w:fill="auto"/>
            <w:noWrap/>
            <w:vAlign w:val="bottom"/>
            <w:hideMark/>
          </w:tcPr>
          <w:p w:rsidR="005A648E" w:rsidRPr="00DE2067" w:rsidP="005D17A3" w14:paraId="0D483DFB" w14:textId="77777777">
            <w:pPr>
              <w:jc w:val="center"/>
            </w:pPr>
            <w:r w:rsidRPr="00DE2067">
              <w:t>48,769</w:t>
            </w:r>
          </w:p>
        </w:tc>
        <w:tc>
          <w:tcPr>
            <w:tcW w:w="815" w:type="dxa"/>
            <w:tcBorders>
              <w:top w:val="nil"/>
              <w:left w:val="nil"/>
              <w:bottom w:val="nil"/>
              <w:right w:val="nil"/>
            </w:tcBorders>
            <w:shd w:val="clear" w:color="auto" w:fill="auto"/>
            <w:noWrap/>
            <w:vAlign w:val="bottom"/>
            <w:hideMark/>
          </w:tcPr>
          <w:p w:rsidR="005A648E" w:rsidRPr="00DE2067" w:rsidP="005D17A3" w14:paraId="277E7DDB" w14:textId="77777777">
            <w:pPr>
              <w:jc w:val="center"/>
            </w:pPr>
            <w:r w:rsidRPr="00DE2067">
              <w:t>183</w:t>
            </w:r>
          </w:p>
        </w:tc>
        <w:tc>
          <w:tcPr>
            <w:tcW w:w="733" w:type="dxa"/>
            <w:tcBorders>
              <w:top w:val="nil"/>
              <w:left w:val="nil"/>
              <w:bottom w:val="nil"/>
              <w:right w:val="nil"/>
            </w:tcBorders>
            <w:shd w:val="clear" w:color="auto" w:fill="auto"/>
            <w:noWrap/>
            <w:vAlign w:val="bottom"/>
            <w:hideMark/>
          </w:tcPr>
          <w:p w:rsidR="005A648E" w:rsidRPr="00DE2067" w:rsidP="005D17A3" w14:paraId="3AAF12D3" w14:textId="77777777">
            <w:pPr>
              <w:jc w:val="center"/>
              <w:rPr>
                <w:iCs/>
              </w:rPr>
            </w:pPr>
            <w:r w:rsidRPr="00DE2067">
              <w:rPr>
                <w:iCs/>
              </w:rPr>
              <w:t>36%</w:t>
            </w:r>
          </w:p>
        </w:tc>
        <w:tc>
          <w:tcPr>
            <w:tcW w:w="779" w:type="dxa"/>
            <w:tcBorders>
              <w:top w:val="nil"/>
              <w:left w:val="nil"/>
              <w:bottom w:val="nil"/>
              <w:right w:val="single" w:sz="8" w:space="0" w:color="auto"/>
            </w:tcBorders>
            <w:shd w:val="clear" w:color="auto" w:fill="auto"/>
            <w:noWrap/>
            <w:vAlign w:val="bottom"/>
            <w:hideMark/>
          </w:tcPr>
          <w:p w:rsidR="005A648E" w:rsidRPr="00DE2067" w:rsidP="005D17A3" w14:paraId="69720171" w14:textId="77777777">
            <w:pPr>
              <w:jc w:val="center"/>
              <w:rPr>
                <w:iCs/>
              </w:rPr>
            </w:pPr>
            <w:r w:rsidRPr="00DE2067">
              <w:rPr>
                <w:iCs/>
              </w:rPr>
              <w:t>11%</w:t>
            </w:r>
          </w:p>
        </w:tc>
      </w:tr>
      <w:tr w14:paraId="2A85F9A3" w14:textId="77777777" w:rsidTr="005A648E">
        <w:tblPrEx>
          <w:tblW w:w="10895" w:type="dxa"/>
          <w:jc w:val="center"/>
          <w:tblLook w:val="04A0"/>
        </w:tblPrEx>
        <w:trPr>
          <w:trHeight w:val="243"/>
          <w:jc w:val="center"/>
        </w:trPr>
        <w:tc>
          <w:tcPr>
            <w:tcW w:w="1121" w:type="dxa"/>
            <w:tcBorders>
              <w:top w:val="nil"/>
              <w:left w:val="single" w:sz="8" w:space="0" w:color="auto"/>
              <w:bottom w:val="double" w:sz="6" w:space="0" w:color="auto"/>
              <w:right w:val="nil"/>
            </w:tcBorders>
            <w:shd w:val="clear" w:color="auto" w:fill="auto"/>
            <w:noWrap/>
            <w:vAlign w:val="bottom"/>
            <w:hideMark/>
          </w:tcPr>
          <w:p w:rsidR="005A648E" w:rsidRPr="00DE2067" w:rsidP="005D17A3" w14:paraId="1657BD56" w14:textId="77777777">
            <w:pPr>
              <w:jc w:val="right"/>
            </w:pPr>
            <w:r w:rsidRPr="00DE2067">
              <w:t>3 or more</w:t>
            </w:r>
          </w:p>
        </w:tc>
        <w:tc>
          <w:tcPr>
            <w:tcW w:w="931" w:type="dxa"/>
            <w:tcBorders>
              <w:top w:val="nil"/>
              <w:left w:val="single" w:sz="4" w:space="0" w:color="auto"/>
              <w:bottom w:val="double" w:sz="6" w:space="0" w:color="auto"/>
              <w:right w:val="nil"/>
            </w:tcBorders>
            <w:shd w:val="clear" w:color="auto" w:fill="auto"/>
            <w:noWrap/>
            <w:vAlign w:val="bottom"/>
            <w:hideMark/>
          </w:tcPr>
          <w:p w:rsidR="005A648E" w:rsidRPr="00DE2067" w:rsidP="005D17A3" w14:paraId="3F075539" w14:textId="77777777">
            <w:pPr>
              <w:jc w:val="center"/>
            </w:pPr>
            <w:r w:rsidRPr="00DE2067">
              <w:t>14,734</w:t>
            </w:r>
          </w:p>
        </w:tc>
        <w:tc>
          <w:tcPr>
            <w:tcW w:w="815" w:type="dxa"/>
            <w:tcBorders>
              <w:top w:val="nil"/>
              <w:left w:val="nil"/>
              <w:bottom w:val="double" w:sz="6" w:space="0" w:color="auto"/>
              <w:right w:val="nil"/>
            </w:tcBorders>
            <w:shd w:val="clear" w:color="auto" w:fill="auto"/>
            <w:noWrap/>
            <w:vAlign w:val="bottom"/>
            <w:hideMark/>
          </w:tcPr>
          <w:p w:rsidR="005A648E" w:rsidRPr="00DE2067" w:rsidP="005D17A3" w14:paraId="175D4267" w14:textId="77777777">
            <w:pPr>
              <w:jc w:val="center"/>
            </w:pPr>
            <w:r w:rsidRPr="00DE2067">
              <w:t>17</w:t>
            </w:r>
          </w:p>
        </w:tc>
        <w:tc>
          <w:tcPr>
            <w:tcW w:w="733" w:type="dxa"/>
            <w:tcBorders>
              <w:top w:val="nil"/>
              <w:left w:val="nil"/>
              <w:bottom w:val="double" w:sz="6" w:space="0" w:color="auto"/>
              <w:right w:val="nil"/>
            </w:tcBorders>
            <w:shd w:val="clear" w:color="auto" w:fill="auto"/>
            <w:noWrap/>
            <w:vAlign w:val="bottom"/>
            <w:hideMark/>
          </w:tcPr>
          <w:p w:rsidR="005A648E" w:rsidRPr="00DE2067" w:rsidP="005D17A3" w14:paraId="6FC922F6" w14:textId="77777777">
            <w:pPr>
              <w:jc w:val="center"/>
              <w:rPr>
                <w:iCs/>
              </w:rPr>
            </w:pPr>
            <w:r w:rsidRPr="00DE2067">
              <w:rPr>
                <w:iCs/>
              </w:rPr>
              <w:t>11%</w:t>
            </w:r>
          </w:p>
        </w:tc>
        <w:tc>
          <w:tcPr>
            <w:tcW w:w="779" w:type="dxa"/>
            <w:tcBorders>
              <w:top w:val="nil"/>
              <w:left w:val="nil"/>
              <w:bottom w:val="double" w:sz="6" w:space="0" w:color="auto"/>
              <w:right w:val="single" w:sz="4" w:space="0" w:color="auto"/>
            </w:tcBorders>
            <w:shd w:val="clear" w:color="auto" w:fill="auto"/>
            <w:noWrap/>
            <w:vAlign w:val="bottom"/>
            <w:hideMark/>
          </w:tcPr>
          <w:p w:rsidR="005A648E" w:rsidRPr="00DE2067" w:rsidP="005D17A3" w14:paraId="124F2464" w14:textId="77777777">
            <w:pPr>
              <w:jc w:val="center"/>
              <w:rPr>
                <w:iCs/>
              </w:rPr>
            </w:pPr>
            <w:r w:rsidRPr="00DE2067">
              <w:rPr>
                <w:iCs/>
              </w:rPr>
              <w:t>1%</w:t>
            </w:r>
          </w:p>
        </w:tc>
        <w:tc>
          <w:tcPr>
            <w:tcW w:w="931" w:type="dxa"/>
            <w:tcBorders>
              <w:top w:val="nil"/>
              <w:left w:val="nil"/>
              <w:bottom w:val="double" w:sz="6" w:space="0" w:color="auto"/>
              <w:right w:val="nil"/>
            </w:tcBorders>
            <w:shd w:val="clear" w:color="auto" w:fill="auto"/>
            <w:noWrap/>
            <w:vAlign w:val="bottom"/>
            <w:hideMark/>
          </w:tcPr>
          <w:p w:rsidR="005A648E" w:rsidRPr="00DE2067" w:rsidP="005D17A3" w14:paraId="0133CEE6" w14:textId="77777777">
            <w:pPr>
              <w:jc w:val="center"/>
            </w:pPr>
            <w:r w:rsidRPr="00DE2067">
              <w:t>14,734</w:t>
            </w:r>
          </w:p>
        </w:tc>
        <w:tc>
          <w:tcPr>
            <w:tcW w:w="815" w:type="dxa"/>
            <w:tcBorders>
              <w:top w:val="nil"/>
              <w:left w:val="nil"/>
              <w:bottom w:val="double" w:sz="6" w:space="0" w:color="auto"/>
              <w:right w:val="nil"/>
            </w:tcBorders>
            <w:shd w:val="clear" w:color="auto" w:fill="auto"/>
            <w:noWrap/>
            <w:vAlign w:val="bottom"/>
            <w:hideMark/>
          </w:tcPr>
          <w:p w:rsidR="005A648E" w:rsidRPr="00DE2067" w:rsidP="005D17A3" w14:paraId="3B94F45E" w14:textId="77777777">
            <w:pPr>
              <w:jc w:val="center"/>
            </w:pPr>
            <w:r w:rsidRPr="00DE2067">
              <w:t>17</w:t>
            </w:r>
          </w:p>
        </w:tc>
        <w:tc>
          <w:tcPr>
            <w:tcW w:w="733" w:type="dxa"/>
            <w:tcBorders>
              <w:top w:val="nil"/>
              <w:left w:val="nil"/>
              <w:bottom w:val="double" w:sz="6" w:space="0" w:color="auto"/>
              <w:right w:val="nil"/>
            </w:tcBorders>
            <w:shd w:val="clear" w:color="auto" w:fill="auto"/>
            <w:noWrap/>
            <w:vAlign w:val="bottom"/>
            <w:hideMark/>
          </w:tcPr>
          <w:p w:rsidR="005A648E" w:rsidRPr="00DE2067" w:rsidP="005D17A3" w14:paraId="5C6F976F" w14:textId="77777777">
            <w:pPr>
              <w:jc w:val="center"/>
              <w:rPr>
                <w:iCs/>
              </w:rPr>
            </w:pPr>
            <w:r w:rsidRPr="00DE2067">
              <w:rPr>
                <w:iCs/>
              </w:rPr>
              <w:t>11%</w:t>
            </w:r>
          </w:p>
        </w:tc>
        <w:tc>
          <w:tcPr>
            <w:tcW w:w="779" w:type="dxa"/>
            <w:tcBorders>
              <w:top w:val="nil"/>
              <w:left w:val="nil"/>
              <w:bottom w:val="double" w:sz="6" w:space="0" w:color="auto"/>
              <w:right w:val="single" w:sz="4" w:space="0" w:color="auto"/>
            </w:tcBorders>
            <w:shd w:val="clear" w:color="auto" w:fill="auto"/>
            <w:noWrap/>
            <w:vAlign w:val="bottom"/>
            <w:hideMark/>
          </w:tcPr>
          <w:p w:rsidR="005A648E" w:rsidRPr="00DE2067" w:rsidP="005D17A3" w14:paraId="40116819" w14:textId="77777777">
            <w:pPr>
              <w:jc w:val="center"/>
              <w:rPr>
                <w:iCs/>
              </w:rPr>
            </w:pPr>
            <w:r w:rsidRPr="00DE2067">
              <w:rPr>
                <w:iCs/>
              </w:rPr>
              <w:t>1%</w:t>
            </w:r>
          </w:p>
        </w:tc>
        <w:tc>
          <w:tcPr>
            <w:tcW w:w="931" w:type="dxa"/>
            <w:tcBorders>
              <w:top w:val="nil"/>
              <w:left w:val="nil"/>
              <w:bottom w:val="double" w:sz="6" w:space="0" w:color="auto"/>
              <w:right w:val="nil"/>
            </w:tcBorders>
            <w:shd w:val="clear" w:color="auto" w:fill="auto"/>
            <w:noWrap/>
            <w:vAlign w:val="bottom"/>
            <w:hideMark/>
          </w:tcPr>
          <w:p w:rsidR="005A648E" w:rsidRPr="00DE2067" w:rsidP="005D17A3" w14:paraId="76D35AB3" w14:textId="77777777">
            <w:pPr>
              <w:jc w:val="center"/>
            </w:pPr>
            <w:r w:rsidRPr="00DE2067">
              <w:t>11,196</w:t>
            </w:r>
          </w:p>
        </w:tc>
        <w:tc>
          <w:tcPr>
            <w:tcW w:w="815" w:type="dxa"/>
            <w:tcBorders>
              <w:top w:val="nil"/>
              <w:left w:val="nil"/>
              <w:bottom w:val="double" w:sz="6" w:space="0" w:color="auto"/>
              <w:right w:val="nil"/>
            </w:tcBorders>
            <w:shd w:val="clear" w:color="auto" w:fill="auto"/>
            <w:noWrap/>
            <w:vAlign w:val="bottom"/>
            <w:hideMark/>
          </w:tcPr>
          <w:p w:rsidR="005A648E" w:rsidRPr="00DE2067" w:rsidP="005D17A3" w14:paraId="254B7A24" w14:textId="77777777">
            <w:pPr>
              <w:jc w:val="center"/>
            </w:pPr>
            <w:r w:rsidRPr="00DE2067">
              <w:t>16</w:t>
            </w:r>
          </w:p>
        </w:tc>
        <w:tc>
          <w:tcPr>
            <w:tcW w:w="733" w:type="dxa"/>
            <w:tcBorders>
              <w:top w:val="nil"/>
              <w:left w:val="nil"/>
              <w:bottom w:val="double" w:sz="6" w:space="0" w:color="auto"/>
              <w:right w:val="nil"/>
            </w:tcBorders>
            <w:shd w:val="clear" w:color="auto" w:fill="auto"/>
            <w:noWrap/>
            <w:vAlign w:val="bottom"/>
            <w:hideMark/>
          </w:tcPr>
          <w:p w:rsidR="005A648E" w:rsidRPr="00DE2067" w:rsidP="005D17A3" w14:paraId="5B998D52" w14:textId="77777777">
            <w:pPr>
              <w:jc w:val="center"/>
              <w:rPr>
                <w:iCs/>
              </w:rPr>
            </w:pPr>
            <w:r w:rsidRPr="00DE2067">
              <w:rPr>
                <w:iCs/>
              </w:rPr>
              <w:t>8%</w:t>
            </w:r>
          </w:p>
        </w:tc>
        <w:tc>
          <w:tcPr>
            <w:tcW w:w="779" w:type="dxa"/>
            <w:tcBorders>
              <w:top w:val="nil"/>
              <w:left w:val="nil"/>
              <w:bottom w:val="double" w:sz="6" w:space="0" w:color="auto"/>
              <w:right w:val="single" w:sz="8" w:space="0" w:color="auto"/>
            </w:tcBorders>
            <w:shd w:val="clear" w:color="auto" w:fill="auto"/>
            <w:noWrap/>
            <w:vAlign w:val="bottom"/>
            <w:hideMark/>
          </w:tcPr>
          <w:p w:rsidR="005A648E" w:rsidRPr="00DE2067" w:rsidP="005D17A3" w14:paraId="2CCF5F41" w14:textId="77777777">
            <w:pPr>
              <w:jc w:val="center"/>
              <w:rPr>
                <w:iCs/>
              </w:rPr>
            </w:pPr>
            <w:r w:rsidRPr="00DE2067">
              <w:rPr>
                <w:iCs/>
              </w:rPr>
              <w:t>1%</w:t>
            </w:r>
          </w:p>
        </w:tc>
      </w:tr>
      <w:tr w14:paraId="1BB46BC2" w14:textId="77777777" w:rsidTr="005A648E">
        <w:tblPrEx>
          <w:tblW w:w="10895" w:type="dxa"/>
          <w:jc w:val="center"/>
          <w:tblLook w:val="04A0"/>
        </w:tblPrEx>
        <w:trPr>
          <w:trHeight w:val="171"/>
          <w:jc w:val="center"/>
        </w:trPr>
        <w:tc>
          <w:tcPr>
            <w:tcW w:w="1121" w:type="dxa"/>
            <w:tcBorders>
              <w:top w:val="nil"/>
              <w:left w:val="single" w:sz="8" w:space="0" w:color="auto"/>
              <w:bottom w:val="single" w:sz="8" w:space="0" w:color="auto"/>
              <w:right w:val="nil"/>
            </w:tcBorders>
            <w:shd w:val="clear" w:color="auto" w:fill="auto"/>
            <w:noWrap/>
            <w:vAlign w:val="bottom"/>
            <w:hideMark/>
          </w:tcPr>
          <w:p w:rsidR="005A648E" w:rsidRPr="00DE2067" w:rsidP="005D17A3" w14:paraId="70C69E74" w14:textId="77777777">
            <w:pPr>
              <w:jc w:val="right"/>
            </w:pPr>
            <w:r w:rsidRPr="00DE2067">
              <w:t>Total</w:t>
            </w:r>
          </w:p>
        </w:tc>
        <w:tc>
          <w:tcPr>
            <w:tcW w:w="931" w:type="dxa"/>
            <w:tcBorders>
              <w:top w:val="nil"/>
              <w:left w:val="single" w:sz="4" w:space="0" w:color="auto"/>
              <w:bottom w:val="single" w:sz="8" w:space="0" w:color="auto"/>
              <w:right w:val="nil"/>
            </w:tcBorders>
            <w:shd w:val="clear" w:color="auto" w:fill="auto"/>
            <w:noWrap/>
            <w:vAlign w:val="bottom"/>
            <w:hideMark/>
          </w:tcPr>
          <w:p w:rsidR="005A648E" w:rsidRPr="00DE2067" w:rsidP="005D17A3" w14:paraId="0EB9C9D8" w14:textId="77777777">
            <w:pPr>
              <w:jc w:val="center"/>
            </w:pPr>
            <w:r w:rsidRPr="00DE2067">
              <w:t>137,254</w:t>
            </w:r>
          </w:p>
        </w:tc>
        <w:tc>
          <w:tcPr>
            <w:tcW w:w="815" w:type="dxa"/>
            <w:tcBorders>
              <w:top w:val="nil"/>
              <w:left w:val="nil"/>
              <w:bottom w:val="single" w:sz="8" w:space="0" w:color="auto"/>
              <w:right w:val="nil"/>
            </w:tcBorders>
            <w:shd w:val="clear" w:color="auto" w:fill="auto"/>
            <w:noWrap/>
            <w:vAlign w:val="bottom"/>
            <w:hideMark/>
          </w:tcPr>
          <w:p w:rsidR="005A648E" w:rsidRPr="00DE2067" w:rsidP="005D17A3" w14:paraId="08812722" w14:textId="77777777">
            <w:pPr>
              <w:jc w:val="center"/>
            </w:pPr>
            <w:r w:rsidRPr="00DE2067">
              <w:t>1,750</w:t>
            </w:r>
          </w:p>
        </w:tc>
        <w:tc>
          <w:tcPr>
            <w:tcW w:w="733" w:type="dxa"/>
            <w:tcBorders>
              <w:top w:val="nil"/>
              <w:left w:val="nil"/>
              <w:bottom w:val="single" w:sz="8" w:space="0" w:color="auto"/>
              <w:right w:val="nil"/>
            </w:tcBorders>
            <w:shd w:val="clear" w:color="auto" w:fill="auto"/>
            <w:noWrap/>
            <w:vAlign w:val="bottom"/>
            <w:hideMark/>
          </w:tcPr>
          <w:p w:rsidR="005A648E" w:rsidRPr="00DE2067" w:rsidP="005D17A3" w14:paraId="5DC6F7A6" w14:textId="77777777">
            <w:pPr>
              <w:jc w:val="center"/>
              <w:rPr>
                <w:iCs/>
              </w:rPr>
            </w:pPr>
            <w:r w:rsidRPr="00DE2067">
              <w:rPr>
                <w:iCs/>
              </w:rPr>
              <w:t>100%</w:t>
            </w:r>
          </w:p>
        </w:tc>
        <w:tc>
          <w:tcPr>
            <w:tcW w:w="779" w:type="dxa"/>
            <w:tcBorders>
              <w:top w:val="nil"/>
              <w:left w:val="nil"/>
              <w:bottom w:val="single" w:sz="8" w:space="0" w:color="auto"/>
              <w:right w:val="single" w:sz="4" w:space="0" w:color="auto"/>
            </w:tcBorders>
            <w:shd w:val="clear" w:color="auto" w:fill="auto"/>
            <w:noWrap/>
            <w:vAlign w:val="bottom"/>
            <w:hideMark/>
          </w:tcPr>
          <w:p w:rsidR="005A648E" w:rsidRPr="00DE2067" w:rsidP="005D17A3" w14:paraId="35179344" w14:textId="77777777">
            <w:pPr>
              <w:jc w:val="center"/>
              <w:rPr>
                <w:iCs/>
              </w:rPr>
            </w:pPr>
            <w:r w:rsidRPr="00DE2067">
              <w:rPr>
                <w:iCs/>
              </w:rPr>
              <w:t>100%</w:t>
            </w:r>
          </w:p>
        </w:tc>
        <w:tc>
          <w:tcPr>
            <w:tcW w:w="931" w:type="dxa"/>
            <w:tcBorders>
              <w:top w:val="nil"/>
              <w:left w:val="nil"/>
              <w:bottom w:val="single" w:sz="8" w:space="0" w:color="auto"/>
              <w:right w:val="nil"/>
            </w:tcBorders>
            <w:shd w:val="clear" w:color="auto" w:fill="auto"/>
            <w:noWrap/>
            <w:vAlign w:val="bottom"/>
            <w:hideMark/>
          </w:tcPr>
          <w:p w:rsidR="005A648E" w:rsidRPr="00DE2067" w:rsidP="005D17A3" w14:paraId="64796A1F" w14:textId="77777777">
            <w:pPr>
              <w:jc w:val="center"/>
            </w:pPr>
            <w:r w:rsidRPr="00DE2067">
              <w:t>137,254</w:t>
            </w:r>
          </w:p>
        </w:tc>
        <w:tc>
          <w:tcPr>
            <w:tcW w:w="815" w:type="dxa"/>
            <w:tcBorders>
              <w:top w:val="nil"/>
              <w:left w:val="nil"/>
              <w:bottom w:val="single" w:sz="8" w:space="0" w:color="auto"/>
              <w:right w:val="nil"/>
            </w:tcBorders>
            <w:shd w:val="clear" w:color="auto" w:fill="auto"/>
            <w:noWrap/>
            <w:vAlign w:val="bottom"/>
            <w:hideMark/>
          </w:tcPr>
          <w:p w:rsidR="005A648E" w:rsidRPr="00DE2067" w:rsidP="005D17A3" w14:paraId="20E91FF9" w14:textId="77777777">
            <w:pPr>
              <w:jc w:val="center"/>
            </w:pPr>
            <w:r w:rsidRPr="00DE2067">
              <w:t>1,750</w:t>
            </w:r>
          </w:p>
        </w:tc>
        <w:tc>
          <w:tcPr>
            <w:tcW w:w="733" w:type="dxa"/>
            <w:tcBorders>
              <w:top w:val="nil"/>
              <w:left w:val="nil"/>
              <w:bottom w:val="single" w:sz="8" w:space="0" w:color="auto"/>
              <w:right w:val="nil"/>
            </w:tcBorders>
            <w:shd w:val="clear" w:color="auto" w:fill="auto"/>
            <w:noWrap/>
            <w:vAlign w:val="bottom"/>
            <w:hideMark/>
          </w:tcPr>
          <w:p w:rsidR="005A648E" w:rsidRPr="00DE2067" w:rsidP="005D17A3" w14:paraId="2A7C5ED6" w14:textId="77777777">
            <w:pPr>
              <w:jc w:val="center"/>
              <w:rPr>
                <w:iCs/>
              </w:rPr>
            </w:pPr>
            <w:r w:rsidRPr="00DE2067">
              <w:rPr>
                <w:iCs/>
              </w:rPr>
              <w:t>100%</w:t>
            </w:r>
          </w:p>
        </w:tc>
        <w:tc>
          <w:tcPr>
            <w:tcW w:w="779" w:type="dxa"/>
            <w:tcBorders>
              <w:top w:val="nil"/>
              <w:left w:val="nil"/>
              <w:bottom w:val="single" w:sz="8" w:space="0" w:color="auto"/>
              <w:right w:val="single" w:sz="4" w:space="0" w:color="auto"/>
            </w:tcBorders>
            <w:shd w:val="clear" w:color="auto" w:fill="auto"/>
            <w:noWrap/>
            <w:vAlign w:val="bottom"/>
            <w:hideMark/>
          </w:tcPr>
          <w:p w:rsidR="005A648E" w:rsidRPr="00DE2067" w:rsidP="005D17A3" w14:paraId="004F073F" w14:textId="77777777">
            <w:pPr>
              <w:jc w:val="center"/>
              <w:rPr>
                <w:iCs/>
              </w:rPr>
            </w:pPr>
            <w:r w:rsidRPr="00DE2067">
              <w:rPr>
                <w:iCs/>
              </w:rPr>
              <w:t>100%</w:t>
            </w:r>
          </w:p>
        </w:tc>
        <w:tc>
          <w:tcPr>
            <w:tcW w:w="931" w:type="dxa"/>
            <w:tcBorders>
              <w:top w:val="nil"/>
              <w:left w:val="nil"/>
              <w:bottom w:val="single" w:sz="8" w:space="0" w:color="auto"/>
              <w:right w:val="nil"/>
            </w:tcBorders>
            <w:shd w:val="clear" w:color="auto" w:fill="auto"/>
            <w:noWrap/>
            <w:vAlign w:val="bottom"/>
            <w:hideMark/>
          </w:tcPr>
          <w:p w:rsidR="005A648E" w:rsidRPr="00DE2067" w:rsidP="005D17A3" w14:paraId="72D5A4A5" w14:textId="77777777">
            <w:pPr>
              <w:jc w:val="center"/>
            </w:pPr>
            <w:r w:rsidRPr="00DE2067">
              <w:t>137,254</w:t>
            </w:r>
          </w:p>
        </w:tc>
        <w:tc>
          <w:tcPr>
            <w:tcW w:w="815" w:type="dxa"/>
            <w:tcBorders>
              <w:top w:val="nil"/>
              <w:left w:val="nil"/>
              <w:bottom w:val="single" w:sz="8" w:space="0" w:color="auto"/>
              <w:right w:val="nil"/>
            </w:tcBorders>
            <w:shd w:val="clear" w:color="auto" w:fill="auto"/>
            <w:noWrap/>
            <w:vAlign w:val="bottom"/>
            <w:hideMark/>
          </w:tcPr>
          <w:p w:rsidR="005A648E" w:rsidRPr="00DE2067" w:rsidP="005D17A3" w14:paraId="091A46F5" w14:textId="77777777">
            <w:pPr>
              <w:jc w:val="center"/>
            </w:pPr>
            <w:r w:rsidRPr="00DE2067">
              <w:t>1,750</w:t>
            </w:r>
          </w:p>
        </w:tc>
        <w:tc>
          <w:tcPr>
            <w:tcW w:w="733" w:type="dxa"/>
            <w:tcBorders>
              <w:top w:val="nil"/>
              <w:left w:val="nil"/>
              <w:bottom w:val="single" w:sz="8" w:space="0" w:color="auto"/>
              <w:right w:val="nil"/>
            </w:tcBorders>
            <w:shd w:val="clear" w:color="auto" w:fill="auto"/>
            <w:noWrap/>
            <w:vAlign w:val="bottom"/>
            <w:hideMark/>
          </w:tcPr>
          <w:p w:rsidR="005A648E" w:rsidRPr="00DE2067" w:rsidP="005D17A3" w14:paraId="5020CDFD" w14:textId="77777777">
            <w:pPr>
              <w:jc w:val="center"/>
              <w:rPr>
                <w:iCs/>
              </w:rPr>
            </w:pPr>
            <w:r w:rsidRPr="00DE2067">
              <w:rPr>
                <w:iCs/>
              </w:rPr>
              <w:t>100%</w:t>
            </w:r>
          </w:p>
        </w:tc>
        <w:tc>
          <w:tcPr>
            <w:tcW w:w="779" w:type="dxa"/>
            <w:tcBorders>
              <w:top w:val="nil"/>
              <w:left w:val="nil"/>
              <w:bottom w:val="single" w:sz="8" w:space="0" w:color="auto"/>
              <w:right w:val="single" w:sz="8" w:space="0" w:color="auto"/>
            </w:tcBorders>
            <w:shd w:val="clear" w:color="auto" w:fill="auto"/>
            <w:noWrap/>
            <w:vAlign w:val="bottom"/>
            <w:hideMark/>
          </w:tcPr>
          <w:p w:rsidR="005A648E" w:rsidRPr="00DE2067" w:rsidP="005D17A3" w14:paraId="158B4A77" w14:textId="77777777">
            <w:pPr>
              <w:jc w:val="center"/>
              <w:rPr>
                <w:iCs/>
              </w:rPr>
            </w:pPr>
            <w:r w:rsidRPr="00DE2067">
              <w:rPr>
                <w:iCs/>
              </w:rPr>
              <w:t>100%</w:t>
            </w:r>
          </w:p>
        </w:tc>
      </w:tr>
    </w:tbl>
    <w:p w:rsidR="005A648E" w:rsidP="00D26ABA" w14:paraId="079590BF" w14:textId="06E5557B">
      <w:pPr>
        <w:spacing w:before="120" w:after="120"/>
        <w:ind w:firstLine="720"/>
      </w:pPr>
      <w:r>
        <w:rPr>
          <w:i/>
        </w:rPr>
        <w:t>Urban/Rural Deployment Differences.</w:t>
      </w:r>
      <w:r>
        <w:t xml:space="preserve">  </w:t>
      </w:r>
      <w:r>
        <w:t xml:space="preserve">As noted above, the data indicate that a gap exists in fixed </w:t>
      </w:r>
      <w:r w:rsidRPr="00D85509">
        <w:t xml:space="preserve">broadband deployment among Tribal lands themselves.  Examining coverage by terrestrial fixed providers on a more granular geographic level </w:t>
      </w:r>
      <w:r>
        <w:t>may explain this difference.</w:t>
      </w:r>
      <w:r w:rsidRPr="00D85509">
        <w:t xml:space="preserve">  Figure </w:t>
      </w:r>
      <w:r w:rsidR="00514F63">
        <w:t>5</w:t>
      </w:r>
      <w:r>
        <w:t xml:space="preserve"> demonstrates that, while</w:t>
      </w:r>
      <w:r w:rsidRPr="00D85509">
        <w:t xml:space="preserve"> urban non-Tribal housing units experience a higher level of deployment across a variety of speeds than urban Tribal housing units</w:t>
      </w:r>
      <w:r>
        <w:t xml:space="preserve">, </w:t>
      </w:r>
      <w:r w:rsidR="006D029B">
        <w:t>the difference in deployment is relatively small; b</w:t>
      </w:r>
      <w:r w:rsidRPr="00D85509">
        <w:t xml:space="preserve">y contrast, rural Tribal areas experience much </w:t>
      </w:r>
      <w:r w:rsidR="006D029B">
        <w:t>larger coverage gaps at every</w:t>
      </w:r>
      <w:r w:rsidRPr="00D85509">
        <w:t xml:space="preserve"> speed than their rural non-Tribal counterparts.</w:t>
      </w:r>
    </w:p>
    <w:p w:rsidR="00F91489" w:rsidRPr="00F91489" w:rsidP="00F91489" w14:paraId="270D0EA0" w14:textId="6E5D7EE1">
      <w:pPr>
        <w:spacing w:after="120"/>
        <w:jc w:val="center"/>
        <w:rPr>
          <w:b/>
        </w:rPr>
      </w:pPr>
      <w:r w:rsidRPr="00F91489">
        <w:rPr>
          <w:b/>
        </w:rPr>
        <w:t>Fig. 5</w:t>
      </w:r>
    </w:p>
    <w:p w:rsidR="005A648E" w:rsidP="005A648E" w14:paraId="0FDEB1B4" w14:textId="77777777">
      <w:pPr>
        <w:jc w:val="center"/>
      </w:pPr>
      <w:r>
        <w:rPr>
          <w:noProof/>
        </w:rPr>
        <w:drawing>
          <wp:inline distT="0" distB="0" distL="0" distR="0">
            <wp:extent cx="3182529" cy="4072270"/>
            <wp:effectExtent l="0" t="0" r="0" b="444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70390" name=""/>
                    <pic:cNvPicPr/>
                  </pic:nvPicPr>
                  <pic:blipFill>
                    <a:blip xmlns:r="http://schemas.openxmlformats.org/officeDocument/2006/relationships" r:embed="rId14">
                      <a:extLst>
                        <a:ext uri="{96DAC541-7B7A-43D3-8B79-37D633B846F1}">
                          <asvg:svgBlip xmlns:asvg="http://schemas.microsoft.com/office/drawing/2016/SVG/main" r:embed="rId15"/>
                        </a:ext>
                      </a:extLst>
                    </a:blip>
                    <a:srcRect t="1344" b="7258"/>
                    <a:stretch>
                      <a:fillRect/>
                    </a:stretch>
                  </pic:blipFill>
                  <pic:spPr bwMode="auto">
                    <a:xfrm>
                      <a:off x="0" y="0"/>
                      <a:ext cx="3212746" cy="411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91489" w:rsidP="0034081A" w14:paraId="5C0936DF" w14:textId="77777777">
      <w:pPr>
        <w:spacing w:after="120"/>
        <w:ind w:firstLine="720"/>
      </w:pPr>
      <w:r w:rsidRPr="00D85509">
        <w:t xml:space="preserve">For example, </w:t>
      </w:r>
      <w:r w:rsidRPr="00D85509" w:rsidR="00514F63">
        <w:t xml:space="preserve">while there is an approximately six percentage point difference in 25/3 Mbps deployment between urban Tribal and urban non-Tribal housing units, that difference jumps to </w:t>
      </w:r>
      <w:r w:rsidR="00CB7412">
        <w:t>over 26</w:t>
      </w:r>
      <w:r w:rsidRPr="00D85509" w:rsidR="00514F63">
        <w:t xml:space="preserve"> </w:t>
      </w:r>
      <w:r w:rsidRPr="00D85509" w:rsidR="00514F63">
        <w:t xml:space="preserve">percentage points when comparing deployment to rural Tribal and rural non-Tribal housing units.  </w:t>
      </w:r>
      <w:r w:rsidRPr="00D85509">
        <w:t xml:space="preserve">Similarly, </w:t>
      </w:r>
      <w:r w:rsidRPr="00D85509" w:rsidR="00514F63">
        <w:t xml:space="preserve">deployment of 10/1 Mbps speeds to rural Tribal housing </w:t>
      </w:r>
      <w:r w:rsidRPr="00D85509" w:rsidR="00514F63">
        <w:t>units</w:t>
      </w:r>
      <w:r w:rsidRPr="00D85509" w:rsidR="00514F63">
        <w:t xml:space="preserve"> trails deployment to rural non-Tribal housing units by 19 percentage points, as opposed to the two percentage</w:t>
      </w:r>
      <w:r w:rsidR="00514F63">
        <w:t>-</w:t>
      </w:r>
      <w:r w:rsidRPr="00D85509" w:rsidR="00514F63">
        <w:t>point difference in 10/1 Mbps coverage between Tribal and non-Tribal housing units</w:t>
      </w:r>
      <w:r w:rsidR="00514F63">
        <w:t xml:space="preserve"> in urban areas</w:t>
      </w:r>
      <w:r w:rsidRPr="00D85509" w:rsidR="00514F63">
        <w:t xml:space="preserve">.  </w:t>
      </w:r>
      <w:r w:rsidRPr="00D85509">
        <w:t xml:space="preserve">Even at higher speeds such as 100/10 Mbps, the disparity is stark—only about 10 percentage points between urban Tribal and urban non-Tribal housing units, as opposed to </w:t>
      </w:r>
      <w:r w:rsidR="00CB7412">
        <w:t xml:space="preserve">almost </w:t>
      </w:r>
      <w:r w:rsidRPr="00D85509">
        <w:t xml:space="preserve">30 percentage points between rural Tribal and rural non-Tribal housing units. </w:t>
      </w:r>
    </w:p>
    <w:p w:rsidR="005A648E" w:rsidRPr="00F91489" w:rsidP="00F91489" w14:paraId="0B0E6E9E" w14:textId="7FB56CFE">
      <w:pPr>
        <w:spacing w:after="120"/>
        <w:jc w:val="center"/>
        <w:rPr>
          <w:b/>
        </w:rPr>
      </w:pPr>
      <w:r w:rsidRPr="00F91489">
        <w:rPr>
          <w:b/>
        </w:rPr>
        <w:t>Fig. 6</w:t>
      </w:r>
    </w:p>
    <w:p w:rsidR="00217210" w:rsidRPr="00D85509" w:rsidP="008605EC" w14:paraId="768FEA49" w14:textId="08224AB8">
      <w:pPr>
        <w:pStyle w:val="Header"/>
        <w:jc w:val="center"/>
      </w:pPr>
      <w:r>
        <w:rPr>
          <w:noProof/>
        </w:rPr>
        <w:drawing>
          <wp:inline distT="0" distB="0" distL="0" distR="0">
            <wp:extent cx="6162675" cy="3423708"/>
            <wp:effectExtent l="0" t="0" r="0" b="571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41704" name=""/>
                    <pic:cNvPicPr/>
                  </pic:nvPicPr>
                  <pic:blipFill>
                    <a:blip xmlns:r="http://schemas.openxmlformats.org/officeDocument/2006/relationships" r:embed="rId16">
                      <a:extLst>
                        <a:ext uri="{96DAC541-7B7A-43D3-8B79-37D633B846F1}">
                          <asvg:svgBlip xmlns:asvg="http://schemas.microsoft.com/office/drawing/2016/SVG/main" r:embed="rId17"/>
                        </a:ext>
                      </a:extLst>
                    </a:blip>
                    <a:stretch>
                      <a:fillRect/>
                    </a:stretch>
                  </pic:blipFill>
                  <pic:spPr>
                    <a:xfrm>
                      <a:off x="0" y="0"/>
                      <a:ext cx="6165370" cy="3425205"/>
                    </a:xfrm>
                    <a:prstGeom prst="rect">
                      <a:avLst/>
                    </a:prstGeom>
                  </pic:spPr>
                </pic:pic>
              </a:graphicData>
            </a:graphic>
          </wp:inline>
        </w:drawing>
      </w:r>
    </w:p>
    <w:p w:rsidR="008E3974" w:rsidRPr="00D85509" w:rsidP="007F64CB" w14:paraId="23D05401" w14:textId="2FF04B01">
      <w:pPr>
        <w:spacing w:after="120"/>
        <w:ind w:firstLine="720"/>
      </w:pPr>
      <w:r>
        <w:rPr>
          <w:i/>
        </w:rPr>
        <w:t xml:space="preserve">Comparison of Coverage by Number of </w:t>
      </w:r>
      <w:r w:rsidRPr="00DB12D5">
        <w:rPr>
          <w:i/>
        </w:rPr>
        <w:t>Providers</w:t>
      </w:r>
      <w:r w:rsidRPr="00DB12D5">
        <w:t>.</w:t>
      </w:r>
      <w:r>
        <w:t xml:space="preserve">  A</w:t>
      </w:r>
      <w:r w:rsidR="0034081A">
        <w:t xml:space="preserve">s Figure </w:t>
      </w:r>
      <w:r w:rsidR="00083BC3">
        <w:t>6</w:t>
      </w:r>
      <w:r w:rsidR="0034081A">
        <w:t xml:space="preserve"> reflects, for each group of fixed technologies and performance tier, more individual on Tribal lands lack access to service than their counterparts on non-Tribal lands, and those individuals that are served tend to have access to fewer providers than individuals on non-Tribal land</w:t>
      </w:r>
      <w:r w:rsidR="00F8259D">
        <w:t>s</w:t>
      </w:r>
      <w:r w:rsidR="0034081A">
        <w:t>.</w:t>
      </w:r>
      <w:r w:rsidRPr="00DE2067" w:rsidR="0034081A">
        <w:t xml:space="preserve"> </w:t>
      </w:r>
      <w:r w:rsidR="0034081A">
        <w:t xml:space="preserve"> </w:t>
      </w:r>
      <w:r w:rsidR="00514F63">
        <w:t>A</w:t>
      </w:r>
      <w:r w:rsidR="0034081A">
        <w:t xml:space="preserve">bout </w:t>
      </w:r>
      <w:r w:rsidRPr="00D85509" w:rsidR="0034081A">
        <w:t>9</w:t>
      </w:r>
      <w:r w:rsidR="0034081A">
        <w:t>8</w:t>
      </w:r>
      <w:r w:rsidRPr="00D85509" w:rsidR="0034081A">
        <w:t xml:space="preserve">% of Tribal housing units are covered by at least one provider of 25/3 Mbps service </w:t>
      </w:r>
      <w:r w:rsidRPr="00D85509" w:rsidR="00BD19C7">
        <w:t>when all current technologies (satellite, fixed wireless, wired offerings) are considered</w:t>
      </w:r>
      <w:r w:rsidRPr="00D85509" w:rsidR="0034081A">
        <w:t xml:space="preserve">.  </w:t>
      </w:r>
      <w:r w:rsidR="00FF14A8">
        <w:t>W</w:t>
      </w:r>
      <w:r w:rsidR="004C202F">
        <w:t xml:space="preserve">hen only </w:t>
      </w:r>
      <w:r w:rsidRPr="00D85509" w:rsidR="004C202F">
        <w:t>terrestrial providers are considered</w:t>
      </w:r>
      <w:r w:rsidR="004C202F">
        <w:t>, approximately</w:t>
      </w:r>
      <w:r w:rsidRPr="00D85509" w:rsidR="004C202F">
        <w:t xml:space="preserve"> 69% </w:t>
      </w:r>
      <w:r w:rsidR="004C202F">
        <w:t xml:space="preserve">on Tribal housing units are covered by a provider offering 25/3 Mbps service, and that </w:t>
      </w:r>
      <w:r w:rsidRPr="00D85509" w:rsidR="0034081A">
        <w:t>number shrinks to less than 65%</w:t>
      </w:r>
      <w:r w:rsidR="004C202F">
        <w:t xml:space="preserve"> </w:t>
      </w:r>
      <w:r w:rsidRPr="00D85509" w:rsidR="0034081A">
        <w:t xml:space="preserve">when only wired providers are considered.  These numbers </w:t>
      </w:r>
      <w:r w:rsidR="0034081A">
        <w:t>are significantly lower than</w:t>
      </w:r>
      <w:r w:rsidRPr="00D85509" w:rsidR="0034081A">
        <w:t xml:space="preserve"> the </w:t>
      </w:r>
      <w:r w:rsidR="0034081A">
        <w:t xml:space="preserve">more than </w:t>
      </w:r>
      <w:r w:rsidRPr="00D85509" w:rsidR="0034081A">
        <w:t>92% of non-Tribal ho</w:t>
      </w:r>
      <w:r w:rsidRPr="00DE2067" w:rsidR="0034081A">
        <w:t>using units that have access to one or more wired providers of 25/3 Mbps service</w:t>
      </w:r>
      <w:r w:rsidR="0034081A">
        <w:t xml:space="preserve">.  </w:t>
      </w:r>
      <w:r w:rsidRPr="00D85509" w:rsidR="006C5FA7">
        <w:t xml:space="preserve">Tribal lands </w:t>
      </w:r>
      <w:r w:rsidR="00083BC3">
        <w:t xml:space="preserve">also </w:t>
      </w:r>
      <w:r w:rsidRPr="00D85509" w:rsidR="006C5FA7">
        <w:t>have</w:t>
      </w:r>
      <w:r w:rsidRPr="00D85509" w:rsidR="009113A7">
        <w:t xml:space="preserve"> near</w:t>
      </w:r>
      <w:r w:rsidRPr="00D85509" w:rsidR="006C5FA7">
        <w:t xml:space="preserve"> ubiquitous access to speeds of 10/1</w:t>
      </w:r>
      <w:r w:rsidRPr="00D85509" w:rsidR="00A974E3">
        <w:t xml:space="preserve"> Mbps</w:t>
      </w:r>
      <w:r w:rsidRPr="00D85509" w:rsidR="006C5FA7">
        <w:t xml:space="preserve"> </w:t>
      </w:r>
      <w:r w:rsidR="00083BC3">
        <w:t>across all technologies</w:t>
      </w:r>
      <w:r w:rsidR="00D3572C">
        <w:t xml:space="preserve">.  </w:t>
      </w:r>
      <w:r w:rsidRPr="00D85509" w:rsidR="00ED30FC">
        <w:t xml:space="preserve">When looking at </w:t>
      </w:r>
      <w:r w:rsidRPr="00D85509" w:rsidR="00C81DB8">
        <w:t xml:space="preserve">only </w:t>
      </w:r>
      <w:r w:rsidRPr="00D85509" w:rsidR="00836476">
        <w:t>wired</w:t>
      </w:r>
      <w:r w:rsidRPr="00D85509" w:rsidR="00ED30FC">
        <w:t xml:space="preserve"> </w:t>
      </w:r>
      <w:r w:rsidRPr="00D85509" w:rsidR="00836476">
        <w:t>providers</w:t>
      </w:r>
      <w:r w:rsidRPr="00D85509" w:rsidR="00ED30FC">
        <w:t>,</w:t>
      </w:r>
      <w:r w:rsidR="004C202F">
        <w:t xml:space="preserve"> however,</w:t>
      </w:r>
      <w:r w:rsidRPr="00D85509" w:rsidR="00ED30FC">
        <w:t xml:space="preserve"> </w:t>
      </w:r>
      <w:r w:rsidRPr="00D85509" w:rsidR="00A9217F">
        <w:t>a</w:t>
      </w:r>
      <w:r w:rsidRPr="00D85509" w:rsidR="00856EEC">
        <w:t>bout</w:t>
      </w:r>
      <w:r w:rsidRPr="00D85509" w:rsidR="00A9217F">
        <w:t xml:space="preserve"> </w:t>
      </w:r>
      <w:r w:rsidRPr="00D85509" w:rsidR="006C5FA7">
        <w:t>7</w:t>
      </w:r>
      <w:r w:rsidRPr="00D85509" w:rsidR="00856EEC">
        <w:t>5</w:t>
      </w:r>
      <w:r w:rsidRPr="00D85509" w:rsidR="006C5FA7">
        <w:t xml:space="preserve">% of </w:t>
      </w:r>
      <w:r w:rsidRPr="00D85509" w:rsidR="0008238B">
        <w:t xml:space="preserve">housing units in </w:t>
      </w:r>
      <w:r w:rsidRPr="00D85509" w:rsidR="00ED30FC">
        <w:t>Tribal</w:t>
      </w:r>
      <w:r w:rsidRPr="00D85509" w:rsidR="006C5FA7">
        <w:t xml:space="preserve"> areas have</w:t>
      </w:r>
      <w:r w:rsidRPr="00D85509" w:rsidR="00ED30FC">
        <w:t xml:space="preserve"> access to at least one provider </w:t>
      </w:r>
      <w:r w:rsidRPr="00D85509" w:rsidR="006C5FA7">
        <w:t>offering 10/1</w:t>
      </w:r>
      <w:r w:rsidRPr="00D85509" w:rsidR="00B92448">
        <w:t xml:space="preserve"> Mbps</w:t>
      </w:r>
      <w:r w:rsidRPr="00D85509" w:rsidR="006C5FA7">
        <w:t xml:space="preserve"> speeds</w:t>
      </w:r>
      <w:r w:rsidRPr="00D85509" w:rsidR="00ED30FC">
        <w:t>,</w:t>
      </w:r>
      <w:r w:rsidRPr="00D85509" w:rsidR="00836476">
        <w:t xml:space="preserve"> but </w:t>
      </w:r>
      <w:r w:rsidRPr="00D85509" w:rsidR="00AC6914">
        <w:t xml:space="preserve">only </w:t>
      </w:r>
      <w:r w:rsidRPr="00D85509" w:rsidR="00A9217F">
        <w:t>about</w:t>
      </w:r>
      <w:r w:rsidRPr="00D85509">
        <w:t xml:space="preserve"> 30</w:t>
      </w:r>
      <w:r w:rsidRPr="00D85509" w:rsidR="00836476">
        <w:t xml:space="preserve">% can choose between two or more providers of such service.  This </w:t>
      </w:r>
      <w:r w:rsidRPr="00D85509" w:rsidR="00214D73">
        <w:t xml:space="preserve">data point </w:t>
      </w:r>
      <w:r w:rsidRPr="00D85509" w:rsidR="00836476">
        <w:t xml:space="preserve">stands in contrast to </w:t>
      </w:r>
      <w:r w:rsidRPr="00D85509" w:rsidR="00214D73">
        <w:t xml:space="preserve">that of </w:t>
      </w:r>
      <w:r w:rsidRPr="00D85509" w:rsidR="00836476">
        <w:t>those living on non-Tribal lands,</w:t>
      </w:r>
      <w:r w:rsidRPr="00D85509" w:rsidR="0008238B">
        <w:t xml:space="preserve"> where</w:t>
      </w:r>
      <w:r w:rsidRPr="00D85509" w:rsidR="00836476">
        <w:t xml:space="preserve"> </w:t>
      </w:r>
      <w:r w:rsidRPr="00D85509" w:rsidR="00856EEC">
        <w:t>approximately</w:t>
      </w:r>
      <w:r w:rsidRPr="00D85509" w:rsidR="00A9217F">
        <w:t xml:space="preserve"> 7</w:t>
      </w:r>
      <w:r w:rsidR="00635141">
        <w:t>2</w:t>
      </w:r>
      <w:r w:rsidRPr="00D85509" w:rsidR="00A9217F">
        <w:t xml:space="preserve">% </w:t>
      </w:r>
      <w:r w:rsidRPr="00D85509" w:rsidR="00836476">
        <w:t xml:space="preserve">of </w:t>
      </w:r>
      <w:r w:rsidRPr="00D85509" w:rsidR="0008238B">
        <w:t xml:space="preserve">housing units </w:t>
      </w:r>
      <w:r w:rsidRPr="00D85509" w:rsidR="00836476">
        <w:t>have access to two or more wired providers of 10/1</w:t>
      </w:r>
      <w:r w:rsidRPr="00D85509" w:rsidR="00BC0CC6">
        <w:t xml:space="preserve"> </w:t>
      </w:r>
      <w:r w:rsidRPr="00D85509" w:rsidR="00836476">
        <w:t xml:space="preserve">Mbps service.  </w:t>
      </w:r>
      <w:r w:rsidRPr="00D85509">
        <w:t xml:space="preserve">Finally, </w:t>
      </w:r>
      <w:r w:rsidRPr="00D85509" w:rsidR="00D85509">
        <w:t>with regard to</w:t>
      </w:r>
      <w:r w:rsidRPr="00D85509" w:rsidR="00D85509">
        <w:t xml:space="preserve"> 100/10 Mbps service, </w:t>
      </w:r>
      <w:r w:rsidRPr="00D85509" w:rsidR="0086747B">
        <w:t xml:space="preserve">Figure </w:t>
      </w:r>
      <w:r w:rsidR="00083BC3">
        <w:t>6</w:t>
      </w:r>
      <w:r w:rsidRPr="00D85509" w:rsidR="0086747B">
        <w:t xml:space="preserve"> demonstrates that </w:t>
      </w:r>
      <w:r w:rsidRPr="00D85509">
        <w:t xml:space="preserve">wired </w:t>
      </w:r>
      <w:r w:rsidRPr="00D85509" w:rsidR="00040A7B">
        <w:t xml:space="preserve">technologies </w:t>
      </w:r>
      <w:r w:rsidRPr="00D85509" w:rsidR="00C71D1B">
        <w:t xml:space="preserve">currently </w:t>
      </w:r>
      <w:r w:rsidRPr="00D85509">
        <w:t xml:space="preserve">are the </w:t>
      </w:r>
      <w:r w:rsidRPr="00D85509" w:rsidR="00F65FFD">
        <w:t xml:space="preserve">predominant </w:t>
      </w:r>
      <w:r w:rsidRPr="00D85509" w:rsidR="00040A7B">
        <w:t xml:space="preserve">method of delivering </w:t>
      </w:r>
      <w:r w:rsidRPr="00D85509" w:rsidR="00D85509">
        <w:t>such</w:t>
      </w:r>
      <w:r w:rsidRPr="00D85509">
        <w:t xml:space="preserve"> </w:t>
      </w:r>
      <w:r w:rsidRPr="00D85509" w:rsidR="00040A7B">
        <w:t xml:space="preserve">speeds </w:t>
      </w:r>
      <w:r w:rsidR="00BD66A9">
        <w:t>on</w:t>
      </w:r>
      <w:r w:rsidRPr="00D85509" w:rsidR="00BD66A9">
        <w:t xml:space="preserve"> </w:t>
      </w:r>
      <w:r w:rsidRPr="00D85509">
        <w:t>Tribal lands</w:t>
      </w:r>
      <w:r w:rsidRPr="00D85509" w:rsidR="00F65FFD">
        <w:t xml:space="preserve">.  </w:t>
      </w:r>
      <w:r w:rsidRPr="00D85509" w:rsidR="00214D73">
        <w:t>O</w:t>
      </w:r>
      <w:r w:rsidRPr="00D85509">
        <w:t>nly about 5</w:t>
      </w:r>
      <w:r w:rsidRPr="00D85509" w:rsidR="00040A7B">
        <w:t>5</w:t>
      </w:r>
      <w:r w:rsidRPr="00D85509">
        <w:t>% of</w:t>
      </w:r>
      <w:r w:rsidRPr="00D85509" w:rsidR="00F91E2E">
        <w:t xml:space="preserve"> housing units on</w:t>
      </w:r>
      <w:r w:rsidRPr="00D85509">
        <w:t xml:space="preserve"> Tribal lands have access to one or more provider </w:t>
      </w:r>
      <w:r w:rsidRPr="00D85509" w:rsidR="00AC6914">
        <w:t>offering</w:t>
      </w:r>
      <w:r w:rsidRPr="00D85509">
        <w:t xml:space="preserve"> such speeds, </w:t>
      </w:r>
      <w:r w:rsidRPr="00D85509" w:rsidR="00214D73">
        <w:t xml:space="preserve">however, </w:t>
      </w:r>
      <w:r w:rsidRPr="00D85509">
        <w:t xml:space="preserve">compared to </w:t>
      </w:r>
      <w:r w:rsidRPr="00D85509" w:rsidR="00040A7B">
        <w:t>almost 90</w:t>
      </w:r>
      <w:r w:rsidRPr="00D85509">
        <w:t xml:space="preserve">% of non-Tribal lands.  </w:t>
      </w:r>
      <w:r w:rsidRPr="00D85509" w:rsidR="00F65FFD">
        <w:t xml:space="preserve"> </w:t>
      </w:r>
    </w:p>
    <w:p w:rsidR="003F148B" w:rsidRPr="00D85509" w:rsidP="001127FA" w14:paraId="703B7421" w14:textId="06EEAD91">
      <w:pPr>
        <w:spacing w:after="120"/>
        <w:ind w:firstLine="720"/>
      </w:pPr>
      <w:r w:rsidRPr="00D85509">
        <w:t>In sum, a</w:t>
      </w:r>
      <w:r w:rsidRPr="00D85509">
        <w:t>cross all metrics, Tribal areas</w:t>
      </w:r>
      <w:r w:rsidRPr="00D85509" w:rsidR="0087490A">
        <w:t xml:space="preserve"> continue to</w:t>
      </w:r>
      <w:r w:rsidRPr="00D85509">
        <w:t xml:space="preserve"> trail non-Tribal </w:t>
      </w:r>
      <w:r w:rsidRPr="00D85509" w:rsidR="00D85509">
        <w:t>area</w:t>
      </w:r>
      <w:r w:rsidRPr="00D85509">
        <w:t xml:space="preserve">s when it comes to </w:t>
      </w:r>
      <w:r w:rsidRPr="00D85509" w:rsidR="0087490A">
        <w:t xml:space="preserve">fixed </w:t>
      </w:r>
      <w:r w:rsidRPr="00D85509">
        <w:t xml:space="preserve">broadband </w:t>
      </w:r>
      <w:r w:rsidRPr="00D85509">
        <w:t>deployment</w:t>
      </w:r>
      <w:r w:rsidRPr="00D85509" w:rsidR="001127FA">
        <w:t xml:space="preserve">, </w:t>
      </w:r>
      <w:r w:rsidR="00497863">
        <w:t xml:space="preserve">and especially so </w:t>
      </w:r>
      <w:r w:rsidRPr="00D85509" w:rsidR="001127FA">
        <w:t>in rural</w:t>
      </w:r>
      <w:r w:rsidR="00B71435">
        <w:t>, lower density</w:t>
      </w:r>
      <w:r w:rsidRPr="00D85509" w:rsidR="001127FA">
        <w:t xml:space="preserve"> areas</w:t>
      </w:r>
      <w:r w:rsidRPr="00D85509">
        <w:t>.</w:t>
      </w:r>
      <w:r w:rsidRPr="00D85509">
        <w:t xml:space="preserve">  </w:t>
      </w:r>
    </w:p>
    <w:p w:rsidR="00DA7400" w:rsidRPr="00D85509" w:rsidP="007F64CB" w14:paraId="07FC0214" w14:textId="713C1AA0">
      <w:pPr>
        <w:pStyle w:val="Heading2"/>
      </w:pPr>
      <w:bookmarkStart w:id="13" w:name="_Toc2857473"/>
      <w:bookmarkStart w:id="14" w:name="_Toc6578196"/>
      <w:r w:rsidRPr="00D85509">
        <w:t>Mobile Broadband Deployment</w:t>
      </w:r>
      <w:bookmarkEnd w:id="13"/>
      <w:bookmarkEnd w:id="14"/>
    </w:p>
    <w:p w:rsidR="009559AB" w:rsidP="008A1AA9" w14:paraId="1AA84843" w14:textId="2ED741BE">
      <w:pPr>
        <w:spacing w:after="120"/>
        <w:ind w:firstLine="720"/>
      </w:pPr>
      <w:r w:rsidRPr="00D85509">
        <w:t>T</w:t>
      </w:r>
      <w:r w:rsidRPr="00D85509" w:rsidR="009E526F">
        <w:t>h</w:t>
      </w:r>
      <w:r w:rsidRPr="00D85509" w:rsidR="00AA1B1A">
        <w:t>is</w:t>
      </w:r>
      <w:r w:rsidRPr="00D85509" w:rsidR="009E526F">
        <w:t xml:space="preserve"> </w:t>
      </w:r>
      <w:r w:rsidRPr="00D85509" w:rsidR="00AA1B1A">
        <w:t>section examines 4G LTE mobile broadband deployment on Tribal lands.</w:t>
      </w:r>
      <w:r w:rsidR="00F73240">
        <w:t xml:space="preserve"> </w:t>
      </w:r>
      <w:r w:rsidR="003737CF">
        <w:t xml:space="preserve"> M</w:t>
      </w:r>
      <w:r w:rsidRPr="00D85509" w:rsidR="003737CF">
        <w:t>obile broadband deployment on Tribal lands outpaces fixed broadband deployment</w:t>
      </w:r>
      <w:r w:rsidR="003737CF">
        <w:t>.  However,</w:t>
      </w:r>
      <w:r w:rsidRPr="00D85509" w:rsidR="003737CF">
        <w:t xml:space="preserve"> </w:t>
      </w:r>
      <w:r w:rsidR="004255A4">
        <w:t xml:space="preserve">mobile broadband deployment </w:t>
      </w:r>
      <w:r w:rsidR="003737CF">
        <w:t>on Tribal lands</w:t>
      </w:r>
      <w:r w:rsidR="00C5650E">
        <w:t xml:space="preserve"> </w:t>
      </w:r>
      <w:r w:rsidR="003737CF">
        <w:t>lags behind</w:t>
      </w:r>
      <w:r w:rsidRPr="00D85509" w:rsidR="003737CF">
        <w:t xml:space="preserve"> </w:t>
      </w:r>
      <w:r w:rsidR="00C5650E">
        <w:t>mobile broadband dep</w:t>
      </w:r>
      <w:r w:rsidR="00A022BF">
        <w:t>loy</w:t>
      </w:r>
      <w:r w:rsidR="00C5650E">
        <w:t>ment</w:t>
      </w:r>
      <w:r w:rsidR="003737CF">
        <w:t xml:space="preserve"> on </w:t>
      </w:r>
      <w:r w:rsidRPr="00D85509" w:rsidR="003737CF">
        <w:t>non-Tribal lands</w:t>
      </w:r>
      <w:r w:rsidR="008A1AA9">
        <w:t xml:space="preserve">, with </w:t>
      </w:r>
      <w:r w:rsidR="00AB4AFC">
        <w:t xml:space="preserve">4G LTE </w:t>
      </w:r>
      <w:r w:rsidR="008A1AA9">
        <w:t>coverage reaching</w:t>
      </w:r>
      <w:r w:rsidR="00AB4AFC">
        <w:t xml:space="preserve"> a smaller percentage of the p</w:t>
      </w:r>
      <w:r w:rsidR="008A1AA9">
        <w:t xml:space="preserve">opulation and road miles on </w:t>
      </w:r>
      <w:r w:rsidR="00B95712">
        <w:t>T</w:t>
      </w:r>
      <w:r w:rsidR="008A1AA9">
        <w:t>ribal lands than on non-</w:t>
      </w:r>
      <w:r w:rsidR="00B95712">
        <w:t>T</w:t>
      </w:r>
      <w:r w:rsidR="008A1AA9">
        <w:t xml:space="preserve">ribal lands. </w:t>
      </w:r>
    </w:p>
    <w:p w:rsidR="00D3572C" w:rsidP="007F64CB" w14:paraId="565D3162" w14:textId="55ED45EA">
      <w:pPr>
        <w:spacing w:after="120"/>
        <w:ind w:firstLine="720"/>
      </w:pPr>
      <w:r>
        <w:rPr>
          <w:i/>
        </w:rPr>
        <w:t>Overall Deployment.</w:t>
      </w:r>
      <w:r>
        <w:t xml:space="preserve">  </w:t>
      </w:r>
      <w:r w:rsidRPr="00D91C91">
        <w:t>Figure 7</w:t>
      </w:r>
      <w:r w:rsidRPr="00D85509">
        <w:t xml:space="preserve"> presents a detailed look at 4G LTE deployment on Tribal lands.  Almost 96% of the population on Tribal Lands is covered by at least one 4G LTE provider, leaving approximately 4% of the population on Tribal Lands without 4G LTE coverage by any provider.  In comparison, only 0.2% of the population on non-Tribal lands are not covered at all with 4G LTE from any provider.  The pattern is similar when considering 4G LTE coverage on roads.  Only approximately 86% of road miles on Tribal lands are covered by at least one provider of 4G LTE, whereas almost 94% of non-Tribal road miles are covered.  Finally, although the percentage of land area with no 4G LTE coverage is slightly higher for non-Tribal lands as compared with Tribal lands, it is almost twice as likely that there is only one service provider with 4G LTE coverage on Tribal lands when compared to non-Tribal lands, which tend to be covered by a higher number of 4G LTE providers.  Given that mobile connectivity and reliability are particularly important on Tribal lands, additional work is needed to improve 4G LTE coverage in these areas.</w:t>
      </w:r>
    </w:p>
    <w:p w:rsidR="00D43F91" w:rsidRPr="00D43F91" w:rsidP="00D43F91" w14:paraId="0AA0139A" w14:textId="41D288F1">
      <w:pPr>
        <w:spacing w:after="120"/>
        <w:jc w:val="center"/>
        <w:rPr>
          <w:b/>
        </w:rPr>
      </w:pPr>
      <w:r w:rsidRPr="00D43F91">
        <w:rPr>
          <w:b/>
        </w:rPr>
        <w:t>Fig. 7</w:t>
      </w:r>
    </w:p>
    <w:tbl>
      <w:tblPr>
        <w:tblW w:w="10708" w:type="dxa"/>
        <w:jc w:val="center"/>
        <w:tblLook w:val="04A0"/>
      </w:tblPr>
      <w:tblGrid>
        <w:gridCol w:w="1121"/>
        <w:gridCol w:w="931"/>
        <w:gridCol w:w="815"/>
        <w:gridCol w:w="733"/>
        <w:gridCol w:w="779"/>
        <w:gridCol w:w="1096"/>
        <w:gridCol w:w="931"/>
        <w:gridCol w:w="733"/>
        <w:gridCol w:w="779"/>
        <w:gridCol w:w="871"/>
        <w:gridCol w:w="891"/>
        <w:gridCol w:w="733"/>
        <w:gridCol w:w="779"/>
      </w:tblGrid>
      <w:tr w14:paraId="3E4D7753" w14:textId="77777777" w:rsidTr="005D17A3">
        <w:tblPrEx>
          <w:tblW w:w="10708" w:type="dxa"/>
          <w:jc w:val="center"/>
          <w:tblLook w:val="04A0"/>
        </w:tblPrEx>
        <w:trPr>
          <w:trHeight w:val="232"/>
          <w:jc w:val="center"/>
        </w:trPr>
        <w:tc>
          <w:tcPr>
            <w:tcW w:w="10708" w:type="dxa"/>
            <w:gridSpan w:val="13"/>
            <w:tcBorders>
              <w:top w:val="single" w:sz="8" w:space="0" w:color="auto"/>
              <w:left w:val="single" w:sz="8" w:space="0" w:color="auto"/>
              <w:bottom w:val="single" w:sz="4" w:space="0" w:color="auto"/>
              <w:right w:val="single" w:sz="8" w:space="0" w:color="000000"/>
            </w:tcBorders>
            <w:shd w:val="clear" w:color="000000" w:fill="D9D9D9"/>
            <w:noWrap/>
            <w:vAlign w:val="bottom"/>
            <w:hideMark/>
          </w:tcPr>
          <w:p w:rsidR="00D3572C" w:rsidRPr="00DE2067" w:rsidP="005D17A3" w14:paraId="757C581E" w14:textId="77777777">
            <w:pPr>
              <w:jc w:val="center"/>
              <w:rPr>
                <w:b/>
                <w:bCs/>
              </w:rPr>
            </w:pPr>
            <w:r w:rsidRPr="00DE2067">
              <w:rPr>
                <w:b/>
                <w:bCs/>
              </w:rPr>
              <w:t>Deployment of 4G LTE Mobile Service to Non-Tribal and Tribal Population (POPs)</w:t>
            </w:r>
          </w:p>
        </w:tc>
      </w:tr>
      <w:tr w14:paraId="62AAC788" w14:textId="77777777" w:rsidTr="005D17A3">
        <w:tblPrEx>
          <w:tblW w:w="10708" w:type="dxa"/>
          <w:jc w:val="center"/>
          <w:tblLook w:val="04A0"/>
        </w:tblPrEx>
        <w:trPr>
          <w:trHeight w:val="232"/>
          <w:jc w:val="center"/>
        </w:trPr>
        <w:tc>
          <w:tcPr>
            <w:tcW w:w="1039" w:type="dxa"/>
            <w:tcBorders>
              <w:top w:val="single" w:sz="4" w:space="0" w:color="auto"/>
              <w:left w:val="single" w:sz="8" w:space="0" w:color="auto"/>
              <w:bottom w:val="single" w:sz="4" w:space="0" w:color="auto"/>
              <w:right w:val="nil"/>
            </w:tcBorders>
            <w:shd w:val="clear" w:color="auto" w:fill="auto"/>
            <w:noWrap/>
            <w:vAlign w:val="bottom"/>
            <w:hideMark/>
          </w:tcPr>
          <w:p w:rsidR="00D3572C" w:rsidRPr="00DE2067" w:rsidP="005D17A3" w14:paraId="3CE791E1" w14:textId="77777777">
            <w:r w:rsidRPr="00DE2067">
              <w:t> </w:t>
            </w:r>
          </w:p>
        </w:tc>
        <w:tc>
          <w:tcPr>
            <w:tcW w:w="309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3572C" w:rsidRPr="00DE2067" w:rsidP="005D17A3" w14:paraId="1AD43FB4" w14:textId="77777777">
            <w:pPr>
              <w:jc w:val="center"/>
              <w:rPr>
                <w:b/>
                <w:bCs/>
              </w:rPr>
            </w:pPr>
            <w:r w:rsidRPr="00DE2067">
              <w:rPr>
                <w:b/>
                <w:bCs/>
              </w:rPr>
              <w:t>Population</w:t>
            </w:r>
          </w:p>
        </w:tc>
        <w:tc>
          <w:tcPr>
            <w:tcW w:w="3348" w:type="dxa"/>
            <w:gridSpan w:val="4"/>
            <w:tcBorders>
              <w:top w:val="single" w:sz="4" w:space="0" w:color="auto"/>
              <w:left w:val="nil"/>
              <w:bottom w:val="single" w:sz="4" w:space="0" w:color="auto"/>
              <w:right w:val="single" w:sz="4" w:space="0" w:color="000000"/>
            </w:tcBorders>
            <w:shd w:val="clear" w:color="auto" w:fill="auto"/>
            <w:noWrap/>
            <w:vAlign w:val="bottom"/>
            <w:hideMark/>
          </w:tcPr>
          <w:p w:rsidR="00D3572C" w:rsidRPr="00DE2067" w:rsidP="005D17A3" w14:paraId="5B9CA37F" w14:textId="77777777">
            <w:pPr>
              <w:jc w:val="center"/>
              <w:rPr>
                <w:b/>
                <w:bCs/>
              </w:rPr>
            </w:pPr>
            <w:r w:rsidRPr="00DE2067">
              <w:rPr>
                <w:b/>
                <w:bCs/>
              </w:rPr>
              <w:t>Road coverage</w:t>
            </w:r>
          </w:p>
        </w:tc>
        <w:tc>
          <w:tcPr>
            <w:tcW w:w="3228" w:type="dxa"/>
            <w:gridSpan w:val="4"/>
            <w:tcBorders>
              <w:top w:val="single" w:sz="4" w:space="0" w:color="auto"/>
              <w:left w:val="nil"/>
              <w:bottom w:val="single" w:sz="4" w:space="0" w:color="auto"/>
              <w:right w:val="single" w:sz="8" w:space="0" w:color="000000"/>
            </w:tcBorders>
            <w:shd w:val="clear" w:color="auto" w:fill="auto"/>
            <w:noWrap/>
            <w:vAlign w:val="bottom"/>
            <w:hideMark/>
          </w:tcPr>
          <w:p w:rsidR="00D3572C" w:rsidRPr="00DE2067" w:rsidP="005D17A3" w14:paraId="23392770" w14:textId="77777777">
            <w:pPr>
              <w:jc w:val="center"/>
              <w:rPr>
                <w:b/>
                <w:bCs/>
              </w:rPr>
            </w:pPr>
            <w:r w:rsidRPr="00DE2067">
              <w:rPr>
                <w:b/>
                <w:bCs/>
              </w:rPr>
              <w:t>Area coverage</w:t>
            </w:r>
          </w:p>
        </w:tc>
      </w:tr>
      <w:tr w14:paraId="5C22F559" w14:textId="77777777" w:rsidTr="005D17A3">
        <w:tblPrEx>
          <w:tblW w:w="10708" w:type="dxa"/>
          <w:jc w:val="center"/>
          <w:tblLook w:val="04A0"/>
        </w:tblPrEx>
        <w:trPr>
          <w:trHeight w:val="730"/>
          <w:jc w:val="center"/>
        </w:trPr>
        <w:tc>
          <w:tcPr>
            <w:tcW w:w="1039" w:type="dxa"/>
            <w:tcBorders>
              <w:top w:val="single" w:sz="4" w:space="0" w:color="auto"/>
              <w:left w:val="single" w:sz="8" w:space="0" w:color="auto"/>
              <w:bottom w:val="single" w:sz="4" w:space="0" w:color="auto"/>
              <w:right w:val="nil"/>
            </w:tcBorders>
            <w:shd w:val="clear" w:color="auto" w:fill="auto"/>
            <w:vAlign w:val="bottom"/>
            <w:hideMark/>
          </w:tcPr>
          <w:p w:rsidR="00D3572C" w:rsidRPr="00DE2067" w:rsidP="005D17A3" w14:paraId="4CB5900F" w14:textId="77777777">
            <w:pPr>
              <w:rPr>
                <w:b/>
                <w:bCs/>
              </w:rPr>
            </w:pPr>
            <w:r w:rsidRPr="00DE2067">
              <w:rPr>
                <w:b/>
                <w:bCs/>
              </w:rPr>
              <w:t xml:space="preserve"># </w:t>
            </w:r>
            <w:r w:rsidRPr="00DE2067">
              <w:rPr>
                <w:b/>
                <w:bCs/>
              </w:rPr>
              <w:br/>
              <w:t>providers</w:t>
            </w:r>
          </w:p>
        </w:tc>
        <w:tc>
          <w:tcPr>
            <w:tcW w:w="866" w:type="dxa"/>
            <w:tcBorders>
              <w:top w:val="single" w:sz="4" w:space="0" w:color="auto"/>
              <w:left w:val="single" w:sz="4" w:space="0" w:color="auto"/>
              <w:bottom w:val="single" w:sz="4" w:space="0" w:color="auto"/>
              <w:right w:val="nil"/>
            </w:tcBorders>
            <w:shd w:val="clear" w:color="auto" w:fill="auto"/>
            <w:vAlign w:val="bottom"/>
            <w:hideMark/>
          </w:tcPr>
          <w:p w:rsidR="00D3572C" w:rsidRPr="00DE2067" w:rsidP="005D17A3" w14:paraId="6C647F9D" w14:textId="77777777">
            <w:pPr>
              <w:jc w:val="center"/>
              <w:rPr>
                <w:b/>
                <w:bCs/>
              </w:rPr>
            </w:pPr>
            <w:r w:rsidRPr="00DE2067">
              <w:rPr>
                <w:b/>
                <w:bCs/>
              </w:rPr>
              <w:t>Non-tribal POPs</w:t>
            </w:r>
            <w:r w:rsidRPr="00DE2067">
              <w:rPr>
                <w:b/>
                <w:bCs/>
              </w:rPr>
              <w:br/>
              <w:t>(000s)</w:t>
            </w:r>
          </w:p>
        </w:tc>
        <w:tc>
          <w:tcPr>
            <w:tcW w:w="761" w:type="dxa"/>
            <w:tcBorders>
              <w:top w:val="single" w:sz="4" w:space="0" w:color="auto"/>
              <w:left w:val="nil"/>
              <w:bottom w:val="single" w:sz="4" w:space="0" w:color="auto"/>
              <w:right w:val="nil"/>
            </w:tcBorders>
            <w:shd w:val="clear" w:color="auto" w:fill="auto"/>
            <w:vAlign w:val="bottom"/>
            <w:hideMark/>
          </w:tcPr>
          <w:p w:rsidR="00D3572C" w:rsidRPr="00DE2067" w:rsidP="005D17A3" w14:paraId="6680A703" w14:textId="77777777">
            <w:pPr>
              <w:jc w:val="center"/>
              <w:rPr>
                <w:b/>
                <w:bCs/>
              </w:rPr>
            </w:pPr>
            <w:r w:rsidRPr="00DE2067">
              <w:rPr>
                <w:b/>
                <w:bCs/>
              </w:rPr>
              <w:t>Tribal POPs</w:t>
            </w:r>
            <w:r w:rsidRPr="00DE2067">
              <w:rPr>
                <w:b/>
                <w:bCs/>
              </w:rPr>
              <w:br/>
              <w:t>(000s)</w:t>
            </w:r>
          </w:p>
        </w:tc>
        <w:tc>
          <w:tcPr>
            <w:tcW w:w="733" w:type="dxa"/>
            <w:tcBorders>
              <w:top w:val="single" w:sz="4" w:space="0" w:color="auto"/>
              <w:left w:val="nil"/>
              <w:bottom w:val="single" w:sz="4" w:space="0" w:color="auto"/>
              <w:right w:val="nil"/>
            </w:tcBorders>
            <w:shd w:val="clear" w:color="auto" w:fill="auto"/>
            <w:vAlign w:val="bottom"/>
            <w:hideMark/>
          </w:tcPr>
          <w:p w:rsidR="00D3572C" w:rsidRPr="00DE2067" w:rsidP="005D17A3" w14:paraId="70941D64" w14:textId="77777777">
            <w:pPr>
              <w:jc w:val="center"/>
              <w:rPr>
                <w:b/>
                <w:bCs/>
                <w:i/>
                <w:iCs/>
              </w:rPr>
            </w:pPr>
            <w:r w:rsidRPr="00DE2067">
              <w:rPr>
                <w:b/>
                <w:bCs/>
                <w:i/>
                <w:iCs/>
              </w:rPr>
              <w:t>Non-tribal</w:t>
            </w:r>
          </w:p>
        </w:tc>
        <w:tc>
          <w:tcPr>
            <w:tcW w:w="733" w:type="dxa"/>
            <w:tcBorders>
              <w:top w:val="single" w:sz="4" w:space="0" w:color="auto"/>
              <w:left w:val="nil"/>
              <w:bottom w:val="single" w:sz="4" w:space="0" w:color="auto"/>
              <w:right w:val="single" w:sz="4" w:space="0" w:color="auto"/>
            </w:tcBorders>
            <w:shd w:val="clear" w:color="auto" w:fill="auto"/>
            <w:vAlign w:val="bottom"/>
            <w:hideMark/>
          </w:tcPr>
          <w:p w:rsidR="00D3572C" w:rsidRPr="00DE2067" w:rsidP="005D17A3" w14:paraId="7D387677" w14:textId="77777777">
            <w:pPr>
              <w:jc w:val="center"/>
              <w:rPr>
                <w:b/>
                <w:bCs/>
                <w:i/>
                <w:iCs/>
              </w:rPr>
            </w:pPr>
            <w:r w:rsidRPr="00DE2067">
              <w:rPr>
                <w:b/>
                <w:bCs/>
                <w:i/>
                <w:iCs/>
              </w:rPr>
              <w:t>Tribal</w:t>
            </w:r>
          </w:p>
        </w:tc>
        <w:tc>
          <w:tcPr>
            <w:tcW w:w="1016" w:type="dxa"/>
            <w:tcBorders>
              <w:top w:val="single" w:sz="4" w:space="0" w:color="auto"/>
              <w:left w:val="nil"/>
              <w:bottom w:val="single" w:sz="4" w:space="0" w:color="auto"/>
              <w:right w:val="nil"/>
            </w:tcBorders>
            <w:shd w:val="clear" w:color="auto" w:fill="auto"/>
            <w:vAlign w:val="bottom"/>
            <w:hideMark/>
          </w:tcPr>
          <w:p w:rsidR="00D3572C" w:rsidRPr="00DE2067" w:rsidP="005D17A3" w14:paraId="7A25BE38" w14:textId="77777777">
            <w:pPr>
              <w:jc w:val="center"/>
              <w:rPr>
                <w:b/>
                <w:bCs/>
              </w:rPr>
            </w:pPr>
            <w:r w:rsidRPr="00DE2067">
              <w:rPr>
                <w:b/>
                <w:bCs/>
              </w:rPr>
              <w:t>Non-tribal roads</w:t>
            </w:r>
            <w:r w:rsidRPr="00DE2067">
              <w:rPr>
                <w:b/>
                <w:bCs/>
              </w:rPr>
              <w:br/>
              <w:t>(mi)</w:t>
            </w:r>
          </w:p>
        </w:tc>
        <w:tc>
          <w:tcPr>
            <w:tcW w:w="866" w:type="dxa"/>
            <w:tcBorders>
              <w:top w:val="single" w:sz="4" w:space="0" w:color="auto"/>
              <w:left w:val="nil"/>
              <w:bottom w:val="single" w:sz="4" w:space="0" w:color="auto"/>
              <w:right w:val="nil"/>
            </w:tcBorders>
            <w:shd w:val="clear" w:color="auto" w:fill="auto"/>
            <w:vAlign w:val="bottom"/>
            <w:hideMark/>
          </w:tcPr>
          <w:p w:rsidR="00D3572C" w:rsidRPr="00DE2067" w:rsidP="005D17A3" w14:paraId="14FF6873" w14:textId="77777777">
            <w:pPr>
              <w:jc w:val="center"/>
              <w:rPr>
                <w:b/>
                <w:bCs/>
              </w:rPr>
            </w:pPr>
            <w:r w:rsidRPr="00DE2067">
              <w:rPr>
                <w:b/>
                <w:bCs/>
              </w:rPr>
              <w:t xml:space="preserve">Tribal roads </w:t>
            </w:r>
            <w:r w:rsidRPr="00DE2067">
              <w:rPr>
                <w:b/>
                <w:bCs/>
              </w:rPr>
              <w:br/>
              <w:t>(mi)</w:t>
            </w:r>
          </w:p>
        </w:tc>
        <w:tc>
          <w:tcPr>
            <w:tcW w:w="733" w:type="dxa"/>
            <w:tcBorders>
              <w:top w:val="single" w:sz="4" w:space="0" w:color="auto"/>
              <w:left w:val="nil"/>
              <w:bottom w:val="single" w:sz="4" w:space="0" w:color="auto"/>
              <w:right w:val="nil"/>
            </w:tcBorders>
            <w:shd w:val="clear" w:color="auto" w:fill="auto"/>
            <w:vAlign w:val="bottom"/>
            <w:hideMark/>
          </w:tcPr>
          <w:p w:rsidR="00D3572C" w:rsidRPr="00DE2067" w:rsidP="005D17A3" w14:paraId="2556D23B" w14:textId="77777777">
            <w:pPr>
              <w:jc w:val="center"/>
              <w:rPr>
                <w:b/>
                <w:bCs/>
                <w:i/>
                <w:iCs/>
              </w:rPr>
            </w:pPr>
            <w:r w:rsidRPr="00DE2067">
              <w:rPr>
                <w:b/>
                <w:bCs/>
                <w:i/>
                <w:iCs/>
              </w:rPr>
              <w:t>Non-tribal</w:t>
            </w:r>
          </w:p>
        </w:tc>
        <w:tc>
          <w:tcPr>
            <w:tcW w:w="733" w:type="dxa"/>
            <w:tcBorders>
              <w:top w:val="single" w:sz="4" w:space="0" w:color="auto"/>
              <w:left w:val="nil"/>
              <w:bottom w:val="single" w:sz="4" w:space="0" w:color="auto"/>
              <w:right w:val="single" w:sz="4" w:space="0" w:color="auto"/>
            </w:tcBorders>
            <w:shd w:val="clear" w:color="auto" w:fill="auto"/>
            <w:vAlign w:val="bottom"/>
            <w:hideMark/>
          </w:tcPr>
          <w:p w:rsidR="00D3572C" w:rsidRPr="00DE2067" w:rsidP="005D17A3" w14:paraId="0ECBDBBB" w14:textId="77777777">
            <w:pPr>
              <w:jc w:val="center"/>
              <w:rPr>
                <w:b/>
                <w:bCs/>
                <w:i/>
                <w:iCs/>
              </w:rPr>
            </w:pPr>
            <w:r w:rsidRPr="00DE2067">
              <w:rPr>
                <w:b/>
                <w:bCs/>
                <w:i/>
                <w:iCs/>
              </w:rPr>
              <w:t>Tribal</w:t>
            </w:r>
          </w:p>
        </w:tc>
        <w:tc>
          <w:tcPr>
            <w:tcW w:w="871" w:type="dxa"/>
            <w:tcBorders>
              <w:top w:val="single" w:sz="4" w:space="0" w:color="auto"/>
              <w:left w:val="nil"/>
              <w:bottom w:val="single" w:sz="4" w:space="0" w:color="auto"/>
              <w:right w:val="nil"/>
            </w:tcBorders>
            <w:shd w:val="clear" w:color="auto" w:fill="auto"/>
            <w:vAlign w:val="bottom"/>
            <w:hideMark/>
          </w:tcPr>
          <w:p w:rsidR="00D3572C" w:rsidRPr="00DE2067" w:rsidP="005D17A3" w14:paraId="3DB9548C" w14:textId="77777777">
            <w:pPr>
              <w:jc w:val="center"/>
              <w:rPr>
                <w:b/>
                <w:bCs/>
              </w:rPr>
            </w:pPr>
            <w:r w:rsidRPr="00DE2067">
              <w:rPr>
                <w:b/>
                <w:bCs/>
              </w:rPr>
              <w:t xml:space="preserve">Non-tribal area </w:t>
            </w:r>
            <w:r w:rsidRPr="00DE2067">
              <w:rPr>
                <w:b/>
                <w:bCs/>
              </w:rPr>
              <w:br/>
              <w:t>(sq mi)</w:t>
            </w:r>
          </w:p>
        </w:tc>
        <w:tc>
          <w:tcPr>
            <w:tcW w:w="891" w:type="dxa"/>
            <w:tcBorders>
              <w:top w:val="single" w:sz="4" w:space="0" w:color="auto"/>
              <w:left w:val="nil"/>
              <w:bottom w:val="single" w:sz="4" w:space="0" w:color="auto"/>
              <w:right w:val="nil"/>
            </w:tcBorders>
            <w:shd w:val="clear" w:color="auto" w:fill="auto"/>
            <w:vAlign w:val="bottom"/>
            <w:hideMark/>
          </w:tcPr>
          <w:p w:rsidR="00D3572C" w:rsidRPr="00DE2067" w:rsidP="005D17A3" w14:paraId="09ED60DF" w14:textId="77777777">
            <w:pPr>
              <w:jc w:val="center"/>
              <w:rPr>
                <w:b/>
                <w:bCs/>
              </w:rPr>
            </w:pPr>
            <w:r w:rsidRPr="00DE2067">
              <w:rPr>
                <w:b/>
                <w:bCs/>
              </w:rPr>
              <w:t xml:space="preserve">Tribal area </w:t>
            </w:r>
            <w:r w:rsidRPr="00DE2067">
              <w:rPr>
                <w:b/>
                <w:bCs/>
              </w:rPr>
              <w:br/>
              <w:t>(sq mi)</w:t>
            </w:r>
          </w:p>
        </w:tc>
        <w:tc>
          <w:tcPr>
            <w:tcW w:w="733" w:type="dxa"/>
            <w:tcBorders>
              <w:top w:val="single" w:sz="4" w:space="0" w:color="auto"/>
              <w:left w:val="nil"/>
              <w:bottom w:val="single" w:sz="4" w:space="0" w:color="auto"/>
              <w:right w:val="nil"/>
            </w:tcBorders>
            <w:shd w:val="clear" w:color="auto" w:fill="auto"/>
            <w:vAlign w:val="bottom"/>
            <w:hideMark/>
          </w:tcPr>
          <w:p w:rsidR="00D3572C" w:rsidRPr="00DE2067" w:rsidP="005D17A3" w14:paraId="72A9EE9A" w14:textId="77777777">
            <w:pPr>
              <w:jc w:val="center"/>
              <w:rPr>
                <w:b/>
                <w:bCs/>
                <w:i/>
                <w:iCs/>
              </w:rPr>
            </w:pPr>
            <w:r w:rsidRPr="00DE2067">
              <w:rPr>
                <w:b/>
                <w:bCs/>
                <w:i/>
                <w:iCs/>
              </w:rPr>
              <w:t>Non-tribal</w:t>
            </w:r>
          </w:p>
        </w:tc>
        <w:tc>
          <w:tcPr>
            <w:tcW w:w="733" w:type="dxa"/>
            <w:tcBorders>
              <w:top w:val="single" w:sz="4" w:space="0" w:color="auto"/>
              <w:left w:val="nil"/>
              <w:bottom w:val="single" w:sz="4" w:space="0" w:color="auto"/>
              <w:right w:val="single" w:sz="8" w:space="0" w:color="auto"/>
            </w:tcBorders>
            <w:shd w:val="clear" w:color="auto" w:fill="auto"/>
            <w:vAlign w:val="bottom"/>
            <w:hideMark/>
          </w:tcPr>
          <w:p w:rsidR="00D3572C" w:rsidRPr="00DE2067" w:rsidP="005D17A3" w14:paraId="7C336E7F" w14:textId="77777777">
            <w:pPr>
              <w:jc w:val="center"/>
              <w:rPr>
                <w:b/>
                <w:bCs/>
                <w:i/>
                <w:iCs/>
              </w:rPr>
            </w:pPr>
            <w:r w:rsidRPr="00DE2067">
              <w:rPr>
                <w:b/>
                <w:bCs/>
                <w:i/>
                <w:iCs/>
              </w:rPr>
              <w:t>Tribal</w:t>
            </w:r>
          </w:p>
        </w:tc>
      </w:tr>
      <w:tr w14:paraId="5926E68A" w14:textId="77777777" w:rsidTr="005D17A3">
        <w:tblPrEx>
          <w:tblW w:w="10708" w:type="dxa"/>
          <w:jc w:val="center"/>
          <w:tblLook w:val="04A0"/>
        </w:tblPrEx>
        <w:trPr>
          <w:trHeight w:val="232"/>
          <w:jc w:val="center"/>
        </w:trPr>
        <w:tc>
          <w:tcPr>
            <w:tcW w:w="1039" w:type="dxa"/>
            <w:tcBorders>
              <w:top w:val="single" w:sz="4" w:space="0" w:color="auto"/>
              <w:left w:val="single" w:sz="8" w:space="0" w:color="auto"/>
              <w:bottom w:val="nil"/>
              <w:right w:val="nil"/>
            </w:tcBorders>
            <w:shd w:val="clear" w:color="auto" w:fill="auto"/>
            <w:noWrap/>
            <w:vAlign w:val="bottom"/>
            <w:hideMark/>
          </w:tcPr>
          <w:p w:rsidR="00D3572C" w:rsidRPr="00DE2067" w:rsidP="005D17A3" w14:paraId="442B30DF" w14:textId="77777777">
            <w:pPr>
              <w:jc w:val="right"/>
            </w:pPr>
            <w:r w:rsidRPr="00DE2067">
              <w:t>0</w:t>
            </w:r>
          </w:p>
        </w:tc>
        <w:tc>
          <w:tcPr>
            <w:tcW w:w="866" w:type="dxa"/>
            <w:tcBorders>
              <w:top w:val="single" w:sz="4" w:space="0" w:color="auto"/>
              <w:left w:val="single" w:sz="4" w:space="0" w:color="auto"/>
              <w:bottom w:val="nil"/>
              <w:right w:val="nil"/>
            </w:tcBorders>
            <w:shd w:val="clear" w:color="auto" w:fill="auto"/>
            <w:noWrap/>
            <w:vAlign w:val="bottom"/>
            <w:hideMark/>
          </w:tcPr>
          <w:p w:rsidR="00D3572C" w:rsidRPr="00DE2067" w:rsidP="005D17A3" w14:paraId="47FEB72C" w14:textId="77777777">
            <w:pPr>
              <w:jc w:val="center"/>
            </w:pPr>
            <w:r w:rsidRPr="00DE2067">
              <w:t>734</w:t>
            </w:r>
          </w:p>
        </w:tc>
        <w:tc>
          <w:tcPr>
            <w:tcW w:w="761" w:type="dxa"/>
            <w:tcBorders>
              <w:top w:val="single" w:sz="4" w:space="0" w:color="auto"/>
              <w:left w:val="nil"/>
              <w:bottom w:val="nil"/>
              <w:right w:val="nil"/>
            </w:tcBorders>
            <w:shd w:val="clear" w:color="auto" w:fill="auto"/>
            <w:noWrap/>
            <w:vAlign w:val="bottom"/>
            <w:hideMark/>
          </w:tcPr>
          <w:p w:rsidR="00D3572C" w:rsidRPr="00DE2067" w:rsidP="005D17A3" w14:paraId="11C5FCDC" w14:textId="77777777">
            <w:pPr>
              <w:jc w:val="center"/>
            </w:pPr>
            <w:r w:rsidRPr="00DE2067">
              <w:t>179</w:t>
            </w:r>
          </w:p>
        </w:tc>
        <w:tc>
          <w:tcPr>
            <w:tcW w:w="733" w:type="dxa"/>
            <w:tcBorders>
              <w:top w:val="single" w:sz="4" w:space="0" w:color="auto"/>
              <w:left w:val="nil"/>
              <w:bottom w:val="nil"/>
              <w:right w:val="nil"/>
            </w:tcBorders>
            <w:shd w:val="clear" w:color="auto" w:fill="auto"/>
            <w:noWrap/>
            <w:vAlign w:val="bottom"/>
            <w:hideMark/>
          </w:tcPr>
          <w:p w:rsidR="00D3572C" w:rsidRPr="00DE2067" w:rsidP="005D17A3" w14:paraId="738250A5" w14:textId="77777777">
            <w:pPr>
              <w:jc w:val="center"/>
              <w:rPr>
                <w:iCs/>
              </w:rPr>
            </w:pPr>
            <w:r w:rsidRPr="00DE2067">
              <w:rPr>
                <w:iCs/>
              </w:rPr>
              <w:t>0%</w:t>
            </w:r>
          </w:p>
        </w:tc>
        <w:tc>
          <w:tcPr>
            <w:tcW w:w="733" w:type="dxa"/>
            <w:tcBorders>
              <w:top w:val="single" w:sz="4" w:space="0" w:color="auto"/>
              <w:left w:val="nil"/>
              <w:bottom w:val="nil"/>
              <w:right w:val="single" w:sz="4" w:space="0" w:color="auto"/>
            </w:tcBorders>
            <w:shd w:val="clear" w:color="auto" w:fill="auto"/>
            <w:noWrap/>
            <w:vAlign w:val="bottom"/>
            <w:hideMark/>
          </w:tcPr>
          <w:p w:rsidR="00D3572C" w:rsidRPr="00DE2067" w:rsidP="005D17A3" w14:paraId="695CCA24" w14:textId="77777777">
            <w:pPr>
              <w:jc w:val="center"/>
              <w:rPr>
                <w:iCs/>
              </w:rPr>
            </w:pPr>
            <w:r w:rsidRPr="00DE2067">
              <w:rPr>
                <w:iCs/>
              </w:rPr>
              <w:t>4%</w:t>
            </w:r>
          </w:p>
        </w:tc>
        <w:tc>
          <w:tcPr>
            <w:tcW w:w="1016" w:type="dxa"/>
            <w:tcBorders>
              <w:top w:val="single" w:sz="4" w:space="0" w:color="auto"/>
              <w:left w:val="nil"/>
              <w:bottom w:val="nil"/>
              <w:right w:val="nil"/>
            </w:tcBorders>
            <w:shd w:val="clear" w:color="auto" w:fill="auto"/>
            <w:noWrap/>
            <w:vAlign w:val="bottom"/>
            <w:hideMark/>
          </w:tcPr>
          <w:p w:rsidR="00D3572C" w:rsidRPr="00DE2067" w:rsidP="005D17A3" w14:paraId="27C3BF31" w14:textId="77777777">
            <w:pPr>
              <w:jc w:val="center"/>
            </w:pPr>
            <w:r w:rsidRPr="00DE2067">
              <w:t>383,061</w:t>
            </w:r>
          </w:p>
        </w:tc>
        <w:tc>
          <w:tcPr>
            <w:tcW w:w="866" w:type="dxa"/>
            <w:tcBorders>
              <w:top w:val="single" w:sz="4" w:space="0" w:color="auto"/>
              <w:left w:val="nil"/>
              <w:bottom w:val="nil"/>
              <w:right w:val="nil"/>
            </w:tcBorders>
            <w:shd w:val="clear" w:color="auto" w:fill="auto"/>
            <w:noWrap/>
            <w:vAlign w:val="bottom"/>
            <w:hideMark/>
          </w:tcPr>
          <w:p w:rsidR="00D3572C" w:rsidRPr="00DE2067" w:rsidP="005D17A3" w14:paraId="1B8A74CC" w14:textId="77777777">
            <w:pPr>
              <w:jc w:val="center"/>
            </w:pPr>
            <w:r w:rsidRPr="00DE2067">
              <w:t>40,878</w:t>
            </w:r>
          </w:p>
        </w:tc>
        <w:tc>
          <w:tcPr>
            <w:tcW w:w="733" w:type="dxa"/>
            <w:tcBorders>
              <w:top w:val="single" w:sz="4" w:space="0" w:color="auto"/>
              <w:left w:val="nil"/>
              <w:bottom w:val="nil"/>
              <w:right w:val="nil"/>
            </w:tcBorders>
            <w:shd w:val="clear" w:color="auto" w:fill="auto"/>
            <w:noWrap/>
            <w:vAlign w:val="bottom"/>
            <w:hideMark/>
          </w:tcPr>
          <w:p w:rsidR="00D3572C" w:rsidRPr="00DE2067" w:rsidP="005D17A3" w14:paraId="29AF8037" w14:textId="77777777">
            <w:pPr>
              <w:jc w:val="center"/>
              <w:rPr>
                <w:iCs/>
              </w:rPr>
            </w:pPr>
            <w:r w:rsidRPr="00DE2067">
              <w:rPr>
                <w:iCs/>
              </w:rPr>
              <w:t>6%</w:t>
            </w:r>
          </w:p>
        </w:tc>
        <w:tc>
          <w:tcPr>
            <w:tcW w:w="733" w:type="dxa"/>
            <w:tcBorders>
              <w:top w:val="single" w:sz="4" w:space="0" w:color="auto"/>
              <w:left w:val="nil"/>
              <w:bottom w:val="nil"/>
              <w:right w:val="single" w:sz="4" w:space="0" w:color="auto"/>
            </w:tcBorders>
            <w:shd w:val="clear" w:color="auto" w:fill="auto"/>
            <w:noWrap/>
            <w:vAlign w:val="bottom"/>
            <w:hideMark/>
          </w:tcPr>
          <w:p w:rsidR="00D3572C" w:rsidRPr="00DE2067" w:rsidP="005D17A3" w14:paraId="4CD68A1B" w14:textId="77777777">
            <w:pPr>
              <w:jc w:val="center"/>
              <w:rPr>
                <w:iCs/>
              </w:rPr>
            </w:pPr>
            <w:r w:rsidRPr="00DE2067">
              <w:rPr>
                <w:iCs/>
              </w:rPr>
              <w:t>14%</w:t>
            </w:r>
          </w:p>
        </w:tc>
        <w:tc>
          <w:tcPr>
            <w:tcW w:w="871" w:type="dxa"/>
            <w:tcBorders>
              <w:top w:val="single" w:sz="4" w:space="0" w:color="auto"/>
              <w:left w:val="nil"/>
              <w:bottom w:val="nil"/>
              <w:right w:val="nil"/>
            </w:tcBorders>
            <w:shd w:val="clear" w:color="auto" w:fill="auto"/>
            <w:noWrap/>
            <w:vAlign w:val="bottom"/>
            <w:hideMark/>
          </w:tcPr>
          <w:p w:rsidR="00D3572C" w:rsidRPr="00DE2067" w:rsidP="005D17A3" w14:paraId="5D7D1CA0" w14:textId="77777777">
            <w:pPr>
              <w:jc w:val="center"/>
            </w:pPr>
            <w:r w:rsidRPr="00DE2067">
              <w:t>907</w:t>
            </w:r>
          </w:p>
        </w:tc>
        <w:tc>
          <w:tcPr>
            <w:tcW w:w="891" w:type="dxa"/>
            <w:tcBorders>
              <w:top w:val="single" w:sz="4" w:space="0" w:color="auto"/>
              <w:left w:val="nil"/>
              <w:bottom w:val="nil"/>
              <w:right w:val="nil"/>
            </w:tcBorders>
            <w:shd w:val="clear" w:color="auto" w:fill="auto"/>
            <w:noWrap/>
            <w:vAlign w:val="bottom"/>
            <w:hideMark/>
          </w:tcPr>
          <w:p w:rsidR="00D3572C" w:rsidRPr="00DE2067" w:rsidP="005D17A3" w14:paraId="23C018C4" w14:textId="77777777">
            <w:pPr>
              <w:jc w:val="center"/>
            </w:pPr>
            <w:r w:rsidRPr="00DE2067">
              <w:t>43</w:t>
            </w:r>
          </w:p>
        </w:tc>
        <w:tc>
          <w:tcPr>
            <w:tcW w:w="733" w:type="dxa"/>
            <w:tcBorders>
              <w:top w:val="single" w:sz="4" w:space="0" w:color="auto"/>
              <w:left w:val="nil"/>
              <w:bottom w:val="nil"/>
              <w:right w:val="nil"/>
            </w:tcBorders>
            <w:shd w:val="clear" w:color="auto" w:fill="auto"/>
            <w:noWrap/>
            <w:vAlign w:val="bottom"/>
            <w:hideMark/>
          </w:tcPr>
          <w:p w:rsidR="00D3572C" w:rsidRPr="00DE2067" w:rsidP="005D17A3" w14:paraId="1B82ED99" w14:textId="77777777">
            <w:pPr>
              <w:jc w:val="center"/>
              <w:rPr>
                <w:iCs/>
              </w:rPr>
            </w:pPr>
            <w:r w:rsidRPr="00DE2067">
              <w:rPr>
                <w:iCs/>
              </w:rPr>
              <w:t>27%</w:t>
            </w:r>
          </w:p>
        </w:tc>
        <w:tc>
          <w:tcPr>
            <w:tcW w:w="733" w:type="dxa"/>
            <w:tcBorders>
              <w:top w:val="single" w:sz="4" w:space="0" w:color="auto"/>
              <w:left w:val="nil"/>
              <w:bottom w:val="nil"/>
              <w:right w:val="single" w:sz="8" w:space="0" w:color="auto"/>
            </w:tcBorders>
            <w:shd w:val="clear" w:color="auto" w:fill="auto"/>
            <w:noWrap/>
            <w:vAlign w:val="bottom"/>
            <w:hideMark/>
          </w:tcPr>
          <w:p w:rsidR="00D3572C" w:rsidRPr="00DE2067" w:rsidP="005D17A3" w14:paraId="08E1CA9F" w14:textId="77777777">
            <w:pPr>
              <w:jc w:val="center"/>
              <w:rPr>
                <w:iCs/>
              </w:rPr>
            </w:pPr>
            <w:r w:rsidRPr="00DE2067">
              <w:rPr>
                <w:iCs/>
              </w:rPr>
              <w:t>24%</w:t>
            </w:r>
          </w:p>
        </w:tc>
      </w:tr>
      <w:tr w14:paraId="2D545862" w14:textId="77777777" w:rsidTr="005D17A3">
        <w:tblPrEx>
          <w:tblW w:w="10708" w:type="dxa"/>
          <w:jc w:val="center"/>
          <w:tblLook w:val="04A0"/>
        </w:tblPrEx>
        <w:trPr>
          <w:trHeight w:val="232"/>
          <w:jc w:val="center"/>
        </w:trPr>
        <w:tc>
          <w:tcPr>
            <w:tcW w:w="1039" w:type="dxa"/>
            <w:tcBorders>
              <w:top w:val="nil"/>
              <w:left w:val="single" w:sz="8" w:space="0" w:color="auto"/>
              <w:bottom w:val="nil"/>
              <w:right w:val="nil"/>
            </w:tcBorders>
            <w:shd w:val="clear" w:color="auto" w:fill="auto"/>
            <w:noWrap/>
            <w:vAlign w:val="bottom"/>
            <w:hideMark/>
          </w:tcPr>
          <w:p w:rsidR="00D3572C" w:rsidRPr="00DE2067" w:rsidP="005D17A3" w14:paraId="44671F7D" w14:textId="77777777">
            <w:pPr>
              <w:jc w:val="right"/>
            </w:pPr>
            <w:r w:rsidRPr="00DE2067">
              <w:t>1</w:t>
            </w:r>
          </w:p>
        </w:tc>
        <w:tc>
          <w:tcPr>
            <w:tcW w:w="866" w:type="dxa"/>
            <w:tcBorders>
              <w:top w:val="nil"/>
              <w:left w:val="single" w:sz="4" w:space="0" w:color="auto"/>
              <w:bottom w:val="nil"/>
              <w:right w:val="nil"/>
            </w:tcBorders>
            <w:shd w:val="clear" w:color="auto" w:fill="auto"/>
            <w:noWrap/>
            <w:vAlign w:val="bottom"/>
            <w:hideMark/>
          </w:tcPr>
          <w:p w:rsidR="00D3572C" w:rsidRPr="00DE2067" w:rsidP="005D17A3" w14:paraId="432FD2B4" w14:textId="77777777">
            <w:pPr>
              <w:jc w:val="center"/>
            </w:pPr>
            <w:r w:rsidRPr="00DE2067">
              <w:t>2,254</w:t>
            </w:r>
          </w:p>
        </w:tc>
        <w:tc>
          <w:tcPr>
            <w:tcW w:w="761" w:type="dxa"/>
            <w:tcBorders>
              <w:top w:val="nil"/>
              <w:left w:val="nil"/>
              <w:bottom w:val="nil"/>
              <w:right w:val="nil"/>
            </w:tcBorders>
            <w:shd w:val="clear" w:color="auto" w:fill="auto"/>
            <w:noWrap/>
            <w:vAlign w:val="bottom"/>
            <w:hideMark/>
          </w:tcPr>
          <w:p w:rsidR="00D3572C" w:rsidRPr="00DE2067" w:rsidP="005D17A3" w14:paraId="1CB32A7F" w14:textId="77777777">
            <w:pPr>
              <w:jc w:val="center"/>
            </w:pPr>
            <w:r w:rsidRPr="00DE2067">
              <w:t>175</w:t>
            </w:r>
          </w:p>
        </w:tc>
        <w:tc>
          <w:tcPr>
            <w:tcW w:w="733" w:type="dxa"/>
            <w:tcBorders>
              <w:top w:val="nil"/>
              <w:left w:val="nil"/>
              <w:bottom w:val="nil"/>
              <w:right w:val="nil"/>
            </w:tcBorders>
            <w:shd w:val="clear" w:color="auto" w:fill="auto"/>
            <w:noWrap/>
            <w:vAlign w:val="bottom"/>
            <w:hideMark/>
          </w:tcPr>
          <w:p w:rsidR="00D3572C" w:rsidRPr="00DE2067" w:rsidP="005D17A3" w14:paraId="2071FB38" w14:textId="77777777">
            <w:pPr>
              <w:jc w:val="center"/>
              <w:rPr>
                <w:iCs/>
              </w:rPr>
            </w:pPr>
            <w:r w:rsidRPr="00DE2067">
              <w:rPr>
                <w:iCs/>
              </w:rPr>
              <w:t>1%</w:t>
            </w:r>
          </w:p>
        </w:tc>
        <w:tc>
          <w:tcPr>
            <w:tcW w:w="733" w:type="dxa"/>
            <w:tcBorders>
              <w:top w:val="nil"/>
              <w:left w:val="nil"/>
              <w:bottom w:val="nil"/>
              <w:right w:val="single" w:sz="4" w:space="0" w:color="auto"/>
            </w:tcBorders>
            <w:shd w:val="clear" w:color="auto" w:fill="auto"/>
            <w:noWrap/>
            <w:vAlign w:val="bottom"/>
            <w:hideMark/>
          </w:tcPr>
          <w:p w:rsidR="00D3572C" w:rsidRPr="00DE2067" w:rsidP="005D17A3" w14:paraId="4FBF45D8" w14:textId="77777777">
            <w:pPr>
              <w:jc w:val="center"/>
              <w:rPr>
                <w:iCs/>
              </w:rPr>
            </w:pPr>
            <w:r w:rsidRPr="00DE2067">
              <w:rPr>
                <w:iCs/>
              </w:rPr>
              <w:t>4%</w:t>
            </w:r>
          </w:p>
        </w:tc>
        <w:tc>
          <w:tcPr>
            <w:tcW w:w="1016" w:type="dxa"/>
            <w:tcBorders>
              <w:top w:val="nil"/>
              <w:left w:val="nil"/>
              <w:bottom w:val="nil"/>
              <w:right w:val="nil"/>
            </w:tcBorders>
            <w:shd w:val="clear" w:color="auto" w:fill="auto"/>
            <w:noWrap/>
            <w:vAlign w:val="bottom"/>
            <w:hideMark/>
          </w:tcPr>
          <w:p w:rsidR="00D3572C" w:rsidRPr="00DE2067" w:rsidP="005D17A3" w14:paraId="77E759A4" w14:textId="77777777">
            <w:pPr>
              <w:jc w:val="center"/>
            </w:pPr>
            <w:r w:rsidRPr="00DE2067">
              <w:t>513,208</w:t>
            </w:r>
          </w:p>
        </w:tc>
        <w:tc>
          <w:tcPr>
            <w:tcW w:w="866" w:type="dxa"/>
            <w:tcBorders>
              <w:top w:val="nil"/>
              <w:left w:val="nil"/>
              <w:bottom w:val="nil"/>
              <w:right w:val="nil"/>
            </w:tcBorders>
            <w:shd w:val="clear" w:color="auto" w:fill="auto"/>
            <w:noWrap/>
            <w:vAlign w:val="bottom"/>
            <w:hideMark/>
          </w:tcPr>
          <w:p w:rsidR="00D3572C" w:rsidRPr="00DE2067" w:rsidP="005D17A3" w14:paraId="0166D12F" w14:textId="77777777">
            <w:pPr>
              <w:jc w:val="center"/>
            </w:pPr>
            <w:r w:rsidRPr="00DE2067">
              <w:t>44,962</w:t>
            </w:r>
          </w:p>
        </w:tc>
        <w:tc>
          <w:tcPr>
            <w:tcW w:w="733" w:type="dxa"/>
            <w:tcBorders>
              <w:top w:val="nil"/>
              <w:left w:val="nil"/>
              <w:bottom w:val="nil"/>
              <w:right w:val="nil"/>
            </w:tcBorders>
            <w:shd w:val="clear" w:color="auto" w:fill="auto"/>
            <w:noWrap/>
            <w:vAlign w:val="bottom"/>
            <w:hideMark/>
          </w:tcPr>
          <w:p w:rsidR="00D3572C" w:rsidRPr="00DE2067" w:rsidP="005D17A3" w14:paraId="60739B10" w14:textId="77777777">
            <w:pPr>
              <w:jc w:val="center"/>
              <w:rPr>
                <w:iCs/>
              </w:rPr>
            </w:pPr>
            <w:r w:rsidRPr="00DE2067">
              <w:rPr>
                <w:iCs/>
              </w:rPr>
              <w:t>8%</w:t>
            </w:r>
          </w:p>
        </w:tc>
        <w:tc>
          <w:tcPr>
            <w:tcW w:w="733" w:type="dxa"/>
            <w:tcBorders>
              <w:top w:val="nil"/>
              <w:left w:val="nil"/>
              <w:bottom w:val="nil"/>
              <w:right w:val="single" w:sz="4" w:space="0" w:color="auto"/>
            </w:tcBorders>
            <w:shd w:val="clear" w:color="auto" w:fill="auto"/>
            <w:noWrap/>
            <w:vAlign w:val="bottom"/>
            <w:hideMark/>
          </w:tcPr>
          <w:p w:rsidR="00D3572C" w:rsidRPr="00DE2067" w:rsidP="005D17A3" w14:paraId="4E10AE59" w14:textId="77777777">
            <w:pPr>
              <w:jc w:val="center"/>
              <w:rPr>
                <w:iCs/>
              </w:rPr>
            </w:pPr>
            <w:r w:rsidRPr="00DE2067">
              <w:rPr>
                <w:iCs/>
              </w:rPr>
              <w:t>15%</w:t>
            </w:r>
          </w:p>
        </w:tc>
        <w:tc>
          <w:tcPr>
            <w:tcW w:w="871" w:type="dxa"/>
            <w:tcBorders>
              <w:top w:val="nil"/>
              <w:left w:val="nil"/>
              <w:bottom w:val="nil"/>
              <w:right w:val="nil"/>
            </w:tcBorders>
            <w:shd w:val="clear" w:color="auto" w:fill="auto"/>
            <w:noWrap/>
            <w:vAlign w:val="bottom"/>
            <w:hideMark/>
          </w:tcPr>
          <w:p w:rsidR="00D3572C" w:rsidRPr="00DE2067" w:rsidP="005D17A3" w14:paraId="70FD6319" w14:textId="77777777">
            <w:pPr>
              <w:jc w:val="center"/>
            </w:pPr>
            <w:r w:rsidRPr="00DE2067">
              <w:t>410</w:t>
            </w:r>
          </w:p>
        </w:tc>
        <w:tc>
          <w:tcPr>
            <w:tcW w:w="891" w:type="dxa"/>
            <w:tcBorders>
              <w:top w:val="nil"/>
              <w:left w:val="nil"/>
              <w:bottom w:val="nil"/>
              <w:right w:val="nil"/>
            </w:tcBorders>
            <w:shd w:val="clear" w:color="auto" w:fill="auto"/>
            <w:noWrap/>
            <w:vAlign w:val="bottom"/>
            <w:hideMark/>
          </w:tcPr>
          <w:p w:rsidR="00D3572C" w:rsidRPr="00DE2067" w:rsidP="005D17A3" w14:paraId="43CF9CF5" w14:textId="77777777">
            <w:pPr>
              <w:jc w:val="center"/>
            </w:pPr>
            <w:r w:rsidRPr="00DE2067">
              <w:t>38</w:t>
            </w:r>
          </w:p>
        </w:tc>
        <w:tc>
          <w:tcPr>
            <w:tcW w:w="733" w:type="dxa"/>
            <w:tcBorders>
              <w:top w:val="nil"/>
              <w:left w:val="nil"/>
              <w:bottom w:val="nil"/>
              <w:right w:val="nil"/>
            </w:tcBorders>
            <w:shd w:val="clear" w:color="auto" w:fill="auto"/>
            <w:noWrap/>
            <w:vAlign w:val="bottom"/>
            <w:hideMark/>
          </w:tcPr>
          <w:p w:rsidR="00D3572C" w:rsidRPr="00DE2067" w:rsidP="005D17A3" w14:paraId="0EC54BFB" w14:textId="77777777">
            <w:pPr>
              <w:jc w:val="center"/>
              <w:rPr>
                <w:iCs/>
              </w:rPr>
            </w:pPr>
            <w:r w:rsidRPr="00DE2067">
              <w:rPr>
                <w:iCs/>
              </w:rPr>
              <w:t>12%</w:t>
            </w:r>
          </w:p>
        </w:tc>
        <w:tc>
          <w:tcPr>
            <w:tcW w:w="733" w:type="dxa"/>
            <w:tcBorders>
              <w:top w:val="nil"/>
              <w:left w:val="nil"/>
              <w:bottom w:val="nil"/>
              <w:right w:val="single" w:sz="8" w:space="0" w:color="auto"/>
            </w:tcBorders>
            <w:shd w:val="clear" w:color="auto" w:fill="auto"/>
            <w:noWrap/>
            <w:vAlign w:val="bottom"/>
            <w:hideMark/>
          </w:tcPr>
          <w:p w:rsidR="00D3572C" w:rsidRPr="00DE2067" w:rsidP="005D17A3" w14:paraId="4200A204" w14:textId="77777777">
            <w:pPr>
              <w:jc w:val="center"/>
              <w:rPr>
                <w:iCs/>
              </w:rPr>
            </w:pPr>
            <w:r w:rsidRPr="00DE2067">
              <w:rPr>
                <w:iCs/>
              </w:rPr>
              <w:t>21%</w:t>
            </w:r>
          </w:p>
        </w:tc>
      </w:tr>
      <w:tr w14:paraId="65C850E9" w14:textId="77777777" w:rsidTr="005D17A3">
        <w:tblPrEx>
          <w:tblW w:w="10708" w:type="dxa"/>
          <w:jc w:val="center"/>
          <w:tblLook w:val="04A0"/>
        </w:tblPrEx>
        <w:trPr>
          <w:trHeight w:val="232"/>
          <w:jc w:val="center"/>
        </w:trPr>
        <w:tc>
          <w:tcPr>
            <w:tcW w:w="1039" w:type="dxa"/>
            <w:tcBorders>
              <w:top w:val="nil"/>
              <w:left w:val="single" w:sz="8" w:space="0" w:color="auto"/>
              <w:bottom w:val="nil"/>
              <w:right w:val="nil"/>
            </w:tcBorders>
            <w:shd w:val="clear" w:color="auto" w:fill="auto"/>
            <w:noWrap/>
            <w:vAlign w:val="bottom"/>
            <w:hideMark/>
          </w:tcPr>
          <w:p w:rsidR="00D3572C" w:rsidRPr="00DE2067" w:rsidP="005D17A3" w14:paraId="17CF74C8" w14:textId="77777777">
            <w:pPr>
              <w:jc w:val="right"/>
            </w:pPr>
            <w:r w:rsidRPr="00DE2067">
              <w:t>2</w:t>
            </w:r>
          </w:p>
        </w:tc>
        <w:tc>
          <w:tcPr>
            <w:tcW w:w="866" w:type="dxa"/>
            <w:tcBorders>
              <w:top w:val="nil"/>
              <w:left w:val="single" w:sz="4" w:space="0" w:color="auto"/>
              <w:bottom w:val="nil"/>
              <w:right w:val="nil"/>
            </w:tcBorders>
            <w:shd w:val="clear" w:color="auto" w:fill="auto"/>
            <w:noWrap/>
            <w:vAlign w:val="bottom"/>
            <w:hideMark/>
          </w:tcPr>
          <w:p w:rsidR="00D3572C" w:rsidRPr="00DE2067" w:rsidP="005D17A3" w14:paraId="0CBFD395" w14:textId="77777777">
            <w:pPr>
              <w:jc w:val="center"/>
            </w:pPr>
            <w:r w:rsidRPr="00DE2067">
              <w:t>7,499</w:t>
            </w:r>
          </w:p>
        </w:tc>
        <w:tc>
          <w:tcPr>
            <w:tcW w:w="761" w:type="dxa"/>
            <w:tcBorders>
              <w:top w:val="nil"/>
              <w:left w:val="nil"/>
              <w:bottom w:val="nil"/>
              <w:right w:val="nil"/>
            </w:tcBorders>
            <w:shd w:val="clear" w:color="auto" w:fill="auto"/>
            <w:noWrap/>
            <w:vAlign w:val="bottom"/>
            <w:hideMark/>
          </w:tcPr>
          <w:p w:rsidR="00D3572C" w:rsidRPr="00DE2067" w:rsidP="005D17A3" w14:paraId="3624B413" w14:textId="77777777">
            <w:pPr>
              <w:jc w:val="center"/>
            </w:pPr>
            <w:r w:rsidRPr="00DE2067">
              <w:t>280</w:t>
            </w:r>
          </w:p>
        </w:tc>
        <w:tc>
          <w:tcPr>
            <w:tcW w:w="733" w:type="dxa"/>
            <w:tcBorders>
              <w:top w:val="nil"/>
              <w:left w:val="nil"/>
              <w:bottom w:val="nil"/>
              <w:right w:val="nil"/>
            </w:tcBorders>
            <w:shd w:val="clear" w:color="auto" w:fill="auto"/>
            <w:noWrap/>
            <w:vAlign w:val="bottom"/>
            <w:hideMark/>
          </w:tcPr>
          <w:p w:rsidR="00D3572C" w:rsidRPr="00DE2067" w:rsidP="005D17A3" w14:paraId="391D188A" w14:textId="77777777">
            <w:pPr>
              <w:jc w:val="center"/>
              <w:rPr>
                <w:iCs/>
              </w:rPr>
            </w:pPr>
            <w:r w:rsidRPr="00DE2067">
              <w:rPr>
                <w:iCs/>
              </w:rPr>
              <w:t>2%</w:t>
            </w:r>
          </w:p>
        </w:tc>
        <w:tc>
          <w:tcPr>
            <w:tcW w:w="733" w:type="dxa"/>
            <w:tcBorders>
              <w:top w:val="nil"/>
              <w:left w:val="nil"/>
              <w:bottom w:val="nil"/>
              <w:right w:val="single" w:sz="4" w:space="0" w:color="auto"/>
            </w:tcBorders>
            <w:shd w:val="clear" w:color="auto" w:fill="auto"/>
            <w:noWrap/>
            <w:vAlign w:val="bottom"/>
            <w:hideMark/>
          </w:tcPr>
          <w:p w:rsidR="00D3572C" w:rsidRPr="00DE2067" w:rsidP="005D17A3" w14:paraId="2C434598" w14:textId="77777777">
            <w:pPr>
              <w:jc w:val="center"/>
              <w:rPr>
                <w:iCs/>
              </w:rPr>
            </w:pPr>
            <w:r w:rsidRPr="00DE2067">
              <w:rPr>
                <w:iCs/>
              </w:rPr>
              <w:t>7%</w:t>
            </w:r>
          </w:p>
        </w:tc>
        <w:tc>
          <w:tcPr>
            <w:tcW w:w="1016" w:type="dxa"/>
            <w:tcBorders>
              <w:top w:val="nil"/>
              <w:left w:val="nil"/>
              <w:bottom w:val="nil"/>
              <w:right w:val="nil"/>
            </w:tcBorders>
            <w:shd w:val="clear" w:color="auto" w:fill="auto"/>
            <w:noWrap/>
            <w:vAlign w:val="bottom"/>
            <w:hideMark/>
          </w:tcPr>
          <w:p w:rsidR="00D3572C" w:rsidRPr="00DE2067" w:rsidP="005D17A3" w14:paraId="2BD19B6E" w14:textId="77777777">
            <w:pPr>
              <w:jc w:val="center"/>
            </w:pPr>
            <w:r w:rsidRPr="00DE2067">
              <w:t>874,871</w:t>
            </w:r>
          </w:p>
        </w:tc>
        <w:tc>
          <w:tcPr>
            <w:tcW w:w="866" w:type="dxa"/>
            <w:tcBorders>
              <w:top w:val="nil"/>
              <w:left w:val="nil"/>
              <w:bottom w:val="nil"/>
              <w:right w:val="nil"/>
            </w:tcBorders>
            <w:shd w:val="clear" w:color="auto" w:fill="auto"/>
            <w:noWrap/>
            <w:vAlign w:val="bottom"/>
            <w:hideMark/>
          </w:tcPr>
          <w:p w:rsidR="00D3572C" w:rsidRPr="00DE2067" w:rsidP="005D17A3" w14:paraId="2344A22E" w14:textId="77777777">
            <w:pPr>
              <w:jc w:val="center"/>
            </w:pPr>
            <w:r w:rsidRPr="00DE2067">
              <w:t>42,508</w:t>
            </w:r>
          </w:p>
        </w:tc>
        <w:tc>
          <w:tcPr>
            <w:tcW w:w="733" w:type="dxa"/>
            <w:tcBorders>
              <w:top w:val="nil"/>
              <w:left w:val="nil"/>
              <w:bottom w:val="nil"/>
              <w:right w:val="nil"/>
            </w:tcBorders>
            <w:shd w:val="clear" w:color="auto" w:fill="auto"/>
            <w:noWrap/>
            <w:vAlign w:val="bottom"/>
            <w:hideMark/>
          </w:tcPr>
          <w:p w:rsidR="00D3572C" w:rsidRPr="00DE2067" w:rsidP="005D17A3" w14:paraId="1B0E82AC" w14:textId="77777777">
            <w:pPr>
              <w:jc w:val="center"/>
              <w:rPr>
                <w:iCs/>
              </w:rPr>
            </w:pPr>
            <w:r w:rsidRPr="00DE2067">
              <w:rPr>
                <w:iCs/>
              </w:rPr>
              <w:t>14%</w:t>
            </w:r>
          </w:p>
        </w:tc>
        <w:tc>
          <w:tcPr>
            <w:tcW w:w="733" w:type="dxa"/>
            <w:tcBorders>
              <w:top w:val="nil"/>
              <w:left w:val="nil"/>
              <w:bottom w:val="nil"/>
              <w:right w:val="single" w:sz="4" w:space="0" w:color="auto"/>
            </w:tcBorders>
            <w:shd w:val="clear" w:color="auto" w:fill="auto"/>
            <w:noWrap/>
            <w:vAlign w:val="bottom"/>
            <w:hideMark/>
          </w:tcPr>
          <w:p w:rsidR="00D3572C" w:rsidRPr="00DE2067" w:rsidP="005D17A3" w14:paraId="16B7D0A9" w14:textId="77777777">
            <w:pPr>
              <w:jc w:val="center"/>
              <w:rPr>
                <w:iCs/>
              </w:rPr>
            </w:pPr>
            <w:r w:rsidRPr="00DE2067">
              <w:rPr>
                <w:iCs/>
              </w:rPr>
              <w:t>15%</w:t>
            </w:r>
          </w:p>
        </w:tc>
        <w:tc>
          <w:tcPr>
            <w:tcW w:w="871" w:type="dxa"/>
            <w:tcBorders>
              <w:top w:val="nil"/>
              <w:left w:val="nil"/>
              <w:bottom w:val="nil"/>
              <w:right w:val="nil"/>
            </w:tcBorders>
            <w:shd w:val="clear" w:color="auto" w:fill="auto"/>
            <w:noWrap/>
            <w:vAlign w:val="bottom"/>
            <w:hideMark/>
          </w:tcPr>
          <w:p w:rsidR="00D3572C" w:rsidRPr="00DE2067" w:rsidP="005D17A3" w14:paraId="24CCA482" w14:textId="77777777">
            <w:pPr>
              <w:jc w:val="center"/>
            </w:pPr>
            <w:r w:rsidRPr="00DE2067">
              <w:t>536</w:t>
            </w:r>
          </w:p>
        </w:tc>
        <w:tc>
          <w:tcPr>
            <w:tcW w:w="891" w:type="dxa"/>
            <w:tcBorders>
              <w:top w:val="nil"/>
              <w:left w:val="nil"/>
              <w:bottom w:val="nil"/>
              <w:right w:val="nil"/>
            </w:tcBorders>
            <w:shd w:val="clear" w:color="auto" w:fill="auto"/>
            <w:noWrap/>
            <w:vAlign w:val="bottom"/>
            <w:hideMark/>
          </w:tcPr>
          <w:p w:rsidR="00D3572C" w:rsidRPr="00DE2067" w:rsidP="005D17A3" w14:paraId="59CFE325" w14:textId="77777777">
            <w:pPr>
              <w:jc w:val="center"/>
            </w:pPr>
            <w:r w:rsidRPr="00DE2067">
              <w:t>31</w:t>
            </w:r>
          </w:p>
        </w:tc>
        <w:tc>
          <w:tcPr>
            <w:tcW w:w="733" w:type="dxa"/>
            <w:tcBorders>
              <w:top w:val="nil"/>
              <w:left w:val="nil"/>
              <w:bottom w:val="nil"/>
              <w:right w:val="nil"/>
            </w:tcBorders>
            <w:shd w:val="clear" w:color="auto" w:fill="auto"/>
            <w:noWrap/>
            <w:vAlign w:val="bottom"/>
            <w:hideMark/>
          </w:tcPr>
          <w:p w:rsidR="00D3572C" w:rsidRPr="00DE2067" w:rsidP="005D17A3" w14:paraId="1749ED11" w14:textId="77777777">
            <w:pPr>
              <w:jc w:val="center"/>
              <w:rPr>
                <w:iCs/>
              </w:rPr>
            </w:pPr>
            <w:r w:rsidRPr="00DE2067">
              <w:rPr>
                <w:iCs/>
              </w:rPr>
              <w:t>16%</w:t>
            </w:r>
          </w:p>
        </w:tc>
        <w:tc>
          <w:tcPr>
            <w:tcW w:w="733" w:type="dxa"/>
            <w:tcBorders>
              <w:top w:val="nil"/>
              <w:left w:val="nil"/>
              <w:bottom w:val="nil"/>
              <w:right w:val="single" w:sz="8" w:space="0" w:color="auto"/>
            </w:tcBorders>
            <w:shd w:val="clear" w:color="auto" w:fill="auto"/>
            <w:noWrap/>
            <w:vAlign w:val="bottom"/>
            <w:hideMark/>
          </w:tcPr>
          <w:p w:rsidR="00D3572C" w:rsidRPr="00DE2067" w:rsidP="005D17A3" w14:paraId="0A186ADD" w14:textId="77777777">
            <w:pPr>
              <w:jc w:val="center"/>
              <w:rPr>
                <w:iCs/>
              </w:rPr>
            </w:pPr>
            <w:r w:rsidRPr="00DE2067">
              <w:rPr>
                <w:iCs/>
              </w:rPr>
              <w:t>17%</w:t>
            </w:r>
          </w:p>
        </w:tc>
      </w:tr>
      <w:tr w14:paraId="63690652" w14:textId="77777777" w:rsidTr="005D17A3">
        <w:tblPrEx>
          <w:tblW w:w="10708" w:type="dxa"/>
          <w:jc w:val="center"/>
          <w:tblLook w:val="04A0"/>
        </w:tblPrEx>
        <w:trPr>
          <w:trHeight w:val="232"/>
          <w:jc w:val="center"/>
        </w:trPr>
        <w:tc>
          <w:tcPr>
            <w:tcW w:w="1039" w:type="dxa"/>
            <w:tcBorders>
              <w:top w:val="nil"/>
              <w:left w:val="single" w:sz="8" w:space="0" w:color="auto"/>
              <w:bottom w:val="nil"/>
              <w:right w:val="nil"/>
            </w:tcBorders>
            <w:shd w:val="clear" w:color="auto" w:fill="auto"/>
            <w:noWrap/>
            <w:vAlign w:val="bottom"/>
            <w:hideMark/>
          </w:tcPr>
          <w:p w:rsidR="00D3572C" w:rsidRPr="00DE2067" w:rsidP="005D17A3" w14:paraId="50D4F66D" w14:textId="77777777">
            <w:pPr>
              <w:jc w:val="right"/>
            </w:pPr>
            <w:r w:rsidRPr="00DE2067">
              <w:t>3</w:t>
            </w:r>
          </w:p>
        </w:tc>
        <w:tc>
          <w:tcPr>
            <w:tcW w:w="866" w:type="dxa"/>
            <w:tcBorders>
              <w:top w:val="nil"/>
              <w:left w:val="single" w:sz="4" w:space="0" w:color="auto"/>
              <w:bottom w:val="nil"/>
              <w:right w:val="nil"/>
            </w:tcBorders>
            <w:shd w:val="clear" w:color="auto" w:fill="auto"/>
            <w:noWrap/>
            <w:vAlign w:val="bottom"/>
            <w:hideMark/>
          </w:tcPr>
          <w:p w:rsidR="00D3572C" w:rsidRPr="00DE2067" w:rsidP="005D17A3" w14:paraId="14FE9023" w14:textId="77777777">
            <w:pPr>
              <w:jc w:val="center"/>
            </w:pPr>
            <w:r w:rsidRPr="00DE2067">
              <w:t>25,380</w:t>
            </w:r>
          </w:p>
        </w:tc>
        <w:tc>
          <w:tcPr>
            <w:tcW w:w="761" w:type="dxa"/>
            <w:tcBorders>
              <w:top w:val="nil"/>
              <w:left w:val="nil"/>
              <w:bottom w:val="nil"/>
              <w:right w:val="nil"/>
            </w:tcBorders>
            <w:shd w:val="clear" w:color="auto" w:fill="auto"/>
            <w:noWrap/>
            <w:vAlign w:val="bottom"/>
            <w:hideMark/>
          </w:tcPr>
          <w:p w:rsidR="00D3572C" w:rsidRPr="00DE2067" w:rsidP="005D17A3" w14:paraId="04EC4EB5" w14:textId="77777777">
            <w:pPr>
              <w:jc w:val="center"/>
            </w:pPr>
            <w:r w:rsidRPr="00DE2067">
              <w:t>465</w:t>
            </w:r>
          </w:p>
        </w:tc>
        <w:tc>
          <w:tcPr>
            <w:tcW w:w="733" w:type="dxa"/>
            <w:tcBorders>
              <w:top w:val="nil"/>
              <w:left w:val="nil"/>
              <w:bottom w:val="nil"/>
              <w:right w:val="nil"/>
            </w:tcBorders>
            <w:shd w:val="clear" w:color="auto" w:fill="auto"/>
            <w:noWrap/>
            <w:vAlign w:val="bottom"/>
            <w:hideMark/>
          </w:tcPr>
          <w:p w:rsidR="00D3572C" w:rsidRPr="00DE2067" w:rsidP="005D17A3" w14:paraId="78942DDF" w14:textId="77777777">
            <w:pPr>
              <w:jc w:val="center"/>
              <w:rPr>
                <w:iCs/>
              </w:rPr>
            </w:pPr>
            <w:r w:rsidRPr="00DE2067">
              <w:rPr>
                <w:iCs/>
              </w:rPr>
              <w:t>8%</w:t>
            </w:r>
          </w:p>
        </w:tc>
        <w:tc>
          <w:tcPr>
            <w:tcW w:w="733" w:type="dxa"/>
            <w:tcBorders>
              <w:top w:val="nil"/>
              <w:left w:val="nil"/>
              <w:bottom w:val="nil"/>
              <w:right w:val="single" w:sz="4" w:space="0" w:color="auto"/>
            </w:tcBorders>
            <w:shd w:val="clear" w:color="auto" w:fill="auto"/>
            <w:noWrap/>
            <w:vAlign w:val="bottom"/>
            <w:hideMark/>
          </w:tcPr>
          <w:p w:rsidR="00D3572C" w:rsidRPr="00DE2067" w:rsidP="005D17A3" w14:paraId="67B0C616" w14:textId="77777777">
            <w:pPr>
              <w:jc w:val="center"/>
              <w:rPr>
                <w:iCs/>
              </w:rPr>
            </w:pPr>
            <w:r w:rsidRPr="00DE2067">
              <w:rPr>
                <w:iCs/>
              </w:rPr>
              <w:t>12%</w:t>
            </w:r>
          </w:p>
        </w:tc>
        <w:tc>
          <w:tcPr>
            <w:tcW w:w="1016" w:type="dxa"/>
            <w:tcBorders>
              <w:top w:val="nil"/>
              <w:left w:val="nil"/>
              <w:bottom w:val="nil"/>
              <w:right w:val="nil"/>
            </w:tcBorders>
            <w:shd w:val="clear" w:color="auto" w:fill="auto"/>
            <w:noWrap/>
            <w:vAlign w:val="bottom"/>
            <w:hideMark/>
          </w:tcPr>
          <w:p w:rsidR="00D3572C" w:rsidRPr="00DE2067" w:rsidP="005D17A3" w14:paraId="03AC206C" w14:textId="77777777">
            <w:pPr>
              <w:jc w:val="center"/>
            </w:pPr>
            <w:r w:rsidRPr="00DE2067">
              <w:t>1,528,663</w:t>
            </w:r>
          </w:p>
        </w:tc>
        <w:tc>
          <w:tcPr>
            <w:tcW w:w="866" w:type="dxa"/>
            <w:tcBorders>
              <w:top w:val="nil"/>
              <w:left w:val="nil"/>
              <w:bottom w:val="nil"/>
              <w:right w:val="nil"/>
            </w:tcBorders>
            <w:shd w:val="clear" w:color="auto" w:fill="auto"/>
            <w:noWrap/>
            <w:vAlign w:val="bottom"/>
            <w:hideMark/>
          </w:tcPr>
          <w:p w:rsidR="00D3572C" w:rsidRPr="00DE2067" w:rsidP="005D17A3" w14:paraId="7D648E52" w14:textId="77777777">
            <w:pPr>
              <w:jc w:val="center"/>
            </w:pPr>
            <w:r w:rsidRPr="00DE2067">
              <w:t>49,230</w:t>
            </w:r>
          </w:p>
        </w:tc>
        <w:tc>
          <w:tcPr>
            <w:tcW w:w="733" w:type="dxa"/>
            <w:tcBorders>
              <w:top w:val="nil"/>
              <w:left w:val="nil"/>
              <w:bottom w:val="nil"/>
              <w:right w:val="nil"/>
            </w:tcBorders>
            <w:shd w:val="clear" w:color="auto" w:fill="auto"/>
            <w:noWrap/>
            <w:vAlign w:val="bottom"/>
            <w:hideMark/>
          </w:tcPr>
          <w:p w:rsidR="00D3572C" w:rsidRPr="00DE2067" w:rsidP="005D17A3" w14:paraId="15B4DDBF" w14:textId="77777777">
            <w:pPr>
              <w:jc w:val="center"/>
              <w:rPr>
                <w:iCs/>
              </w:rPr>
            </w:pPr>
            <w:r w:rsidRPr="00DE2067">
              <w:rPr>
                <w:iCs/>
              </w:rPr>
              <w:t>25%</w:t>
            </w:r>
          </w:p>
        </w:tc>
        <w:tc>
          <w:tcPr>
            <w:tcW w:w="733" w:type="dxa"/>
            <w:tcBorders>
              <w:top w:val="nil"/>
              <w:left w:val="nil"/>
              <w:bottom w:val="nil"/>
              <w:right w:val="single" w:sz="4" w:space="0" w:color="auto"/>
            </w:tcBorders>
            <w:shd w:val="clear" w:color="auto" w:fill="auto"/>
            <w:noWrap/>
            <w:vAlign w:val="bottom"/>
            <w:hideMark/>
          </w:tcPr>
          <w:p w:rsidR="00D3572C" w:rsidRPr="00DE2067" w:rsidP="005D17A3" w14:paraId="56ABA8E6" w14:textId="77777777">
            <w:pPr>
              <w:jc w:val="center"/>
              <w:rPr>
                <w:iCs/>
              </w:rPr>
            </w:pPr>
            <w:r w:rsidRPr="00DE2067">
              <w:rPr>
                <w:iCs/>
              </w:rPr>
              <w:t>17%</w:t>
            </w:r>
          </w:p>
        </w:tc>
        <w:tc>
          <w:tcPr>
            <w:tcW w:w="871" w:type="dxa"/>
            <w:tcBorders>
              <w:top w:val="nil"/>
              <w:left w:val="nil"/>
              <w:bottom w:val="nil"/>
              <w:right w:val="nil"/>
            </w:tcBorders>
            <w:shd w:val="clear" w:color="auto" w:fill="auto"/>
            <w:noWrap/>
            <w:vAlign w:val="bottom"/>
            <w:hideMark/>
          </w:tcPr>
          <w:p w:rsidR="00D3572C" w:rsidRPr="00DE2067" w:rsidP="005D17A3" w14:paraId="127B6875" w14:textId="77777777">
            <w:pPr>
              <w:jc w:val="center"/>
            </w:pPr>
            <w:r w:rsidRPr="00DE2067">
              <w:t>733</w:t>
            </w:r>
          </w:p>
        </w:tc>
        <w:tc>
          <w:tcPr>
            <w:tcW w:w="891" w:type="dxa"/>
            <w:tcBorders>
              <w:top w:val="nil"/>
              <w:left w:val="nil"/>
              <w:bottom w:val="nil"/>
              <w:right w:val="nil"/>
            </w:tcBorders>
            <w:shd w:val="clear" w:color="auto" w:fill="auto"/>
            <w:noWrap/>
            <w:vAlign w:val="bottom"/>
            <w:hideMark/>
          </w:tcPr>
          <w:p w:rsidR="00D3572C" w:rsidRPr="00DE2067" w:rsidP="005D17A3" w14:paraId="23630F5F" w14:textId="77777777">
            <w:pPr>
              <w:jc w:val="center"/>
            </w:pPr>
            <w:r w:rsidRPr="00DE2067">
              <w:t>27</w:t>
            </w:r>
          </w:p>
        </w:tc>
        <w:tc>
          <w:tcPr>
            <w:tcW w:w="733" w:type="dxa"/>
            <w:tcBorders>
              <w:top w:val="nil"/>
              <w:left w:val="nil"/>
              <w:bottom w:val="nil"/>
              <w:right w:val="nil"/>
            </w:tcBorders>
            <w:shd w:val="clear" w:color="auto" w:fill="auto"/>
            <w:noWrap/>
            <w:vAlign w:val="bottom"/>
            <w:hideMark/>
          </w:tcPr>
          <w:p w:rsidR="00D3572C" w:rsidRPr="00DE2067" w:rsidP="005D17A3" w14:paraId="2A517233" w14:textId="77777777">
            <w:pPr>
              <w:jc w:val="center"/>
              <w:rPr>
                <w:iCs/>
              </w:rPr>
            </w:pPr>
            <w:r w:rsidRPr="00DE2067">
              <w:rPr>
                <w:iCs/>
              </w:rPr>
              <w:t>22%</w:t>
            </w:r>
          </w:p>
        </w:tc>
        <w:tc>
          <w:tcPr>
            <w:tcW w:w="733" w:type="dxa"/>
            <w:tcBorders>
              <w:top w:val="nil"/>
              <w:left w:val="nil"/>
              <w:bottom w:val="nil"/>
              <w:right w:val="single" w:sz="8" w:space="0" w:color="auto"/>
            </w:tcBorders>
            <w:shd w:val="clear" w:color="auto" w:fill="auto"/>
            <w:noWrap/>
            <w:vAlign w:val="bottom"/>
            <w:hideMark/>
          </w:tcPr>
          <w:p w:rsidR="00D3572C" w:rsidRPr="00DE2067" w:rsidP="005D17A3" w14:paraId="1196DB55" w14:textId="77777777">
            <w:pPr>
              <w:jc w:val="center"/>
              <w:rPr>
                <w:iCs/>
              </w:rPr>
            </w:pPr>
            <w:r w:rsidRPr="00DE2067">
              <w:rPr>
                <w:iCs/>
              </w:rPr>
              <w:t>14%</w:t>
            </w:r>
          </w:p>
        </w:tc>
      </w:tr>
      <w:tr w14:paraId="1BD8FDA8" w14:textId="77777777" w:rsidTr="005D17A3">
        <w:tblPrEx>
          <w:tblW w:w="10708" w:type="dxa"/>
          <w:jc w:val="center"/>
          <w:tblLook w:val="04A0"/>
        </w:tblPrEx>
        <w:trPr>
          <w:trHeight w:val="247"/>
          <w:jc w:val="center"/>
        </w:trPr>
        <w:tc>
          <w:tcPr>
            <w:tcW w:w="1039" w:type="dxa"/>
            <w:tcBorders>
              <w:top w:val="nil"/>
              <w:left w:val="single" w:sz="8" w:space="0" w:color="auto"/>
              <w:bottom w:val="double" w:sz="6" w:space="0" w:color="auto"/>
              <w:right w:val="single" w:sz="4" w:space="0" w:color="auto"/>
            </w:tcBorders>
            <w:shd w:val="clear" w:color="auto" w:fill="auto"/>
            <w:noWrap/>
            <w:vAlign w:val="bottom"/>
            <w:hideMark/>
          </w:tcPr>
          <w:p w:rsidR="00D3572C" w:rsidRPr="00DE2067" w:rsidP="005D17A3" w14:paraId="4F246BB4" w14:textId="77777777">
            <w:pPr>
              <w:jc w:val="right"/>
            </w:pPr>
            <w:r w:rsidRPr="00DE2067">
              <w:t>4 or more</w:t>
            </w:r>
          </w:p>
        </w:tc>
        <w:tc>
          <w:tcPr>
            <w:tcW w:w="866" w:type="dxa"/>
            <w:tcBorders>
              <w:top w:val="nil"/>
              <w:left w:val="nil"/>
              <w:bottom w:val="double" w:sz="6" w:space="0" w:color="auto"/>
              <w:right w:val="nil"/>
            </w:tcBorders>
            <w:shd w:val="clear" w:color="auto" w:fill="auto"/>
            <w:noWrap/>
            <w:vAlign w:val="bottom"/>
            <w:hideMark/>
          </w:tcPr>
          <w:p w:rsidR="00D3572C" w:rsidRPr="00DE2067" w:rsidP="005D17A3" w14:paraId="4344B228" w14:textId="77777777">
            <w:pPr>
              <w:jc w:val="center"/>
            </w:pPr>
            <w:r w:rsidRPr="00DE2067">
              <w:t>289,547</w:t>
            </w:r>
          </w:p>
        </w:tc>
        <w:tc>
          <w:tcPr>
            <w:tcW w:w="761" w:type="dxa"/>
            <w:tcBorders>
              <w:top w:val="nil"/>
              <w:left w:val="nil"/>
              <w:bottom w:val="double" w:sz="6" w:space="0" w:color="auto"/>
              <w:right w:val="nil"/>
            </w:tcBorders>
            <w:shd w:val="clear" w:color="auto" w:fill="auto"/>
            <w:noWrap/>
            <w:vAlign w:val="bottom"/>
            <w:hideMark/>
          </w:tcPr>
          <w:p w:rsidR="00D3572C" w:rsidRPr="00DE2067" w:rsidP="005D17A3" w14:paraId="3D73733C" w14:textId="77777777">
            <w:pPr>
              <w:jc w:val="center"/>
            </w:pPr>
            <w:r w:rsidRPr="00DE2067">
              <w:t>2,919</w:t>
            </w:r>
          </w:p>
        </w:tc>
        <w:tc>
          <w:tcPr>
            <w:tcW w:w="733" w:type="dxa"/>
            <w:tcBorders>
              <w:top w:val="nil"/>
              <w:left w:val="nil"/>
              <w:bottom w:val="double" w:sz="6" w:space="0" w:color="auto"/>
              <w:right w:val="nil"/>
            </w:tcBorders>
            <w:shd w:val="clear" w:color="auto" w:fill="auto"/>
            <w:noWrap/>
            <w:vAlign w:val="bottom"/>
            <w:hideMark/>
          </w:tcPr>
          <w:p w:rsidR="00D3572C" w:rsidRPr="00DE2067" w:rsidP="005D17A3" w14:paraId="1118A250" w14:textId="77777777">
            <w:pPr>
              <w:jc w:val="center"/>
              <w:rPr>
                <w:iCs/>
              </w:rPr>
            </w:pPr>
            <w:r w:rsidRPr="00DE2067">
              <w:rPr>
                <w:iCs/>
              </w:rPr>
              <w:t>89%</w:t>
            </w:r>
          </w:p>
        </w:tc>
        <w:tc>
          <w:tcPr>
            <w:tcW w:w="733" w:type="dxa"/>
            <w:tcBorders>
              <w:top w:val="nil"/>
              <w:left w:val="nil"/>
              <w:bottom w:val="double" w:sz="6" w:space="0" w:color="auto"/>
              <w:right w:val="single" w:sz="4" w:space="0" w:color="auto"/>
            </w:tcBorders>
            <w:shd w:val="clear" w:color="auto" w:fill="auto"/>
            <w:noWrap/>
            <w:vAlign w:val="bottom"/>
            <w:hideMark/>
          </w:tcPr>
          <w:p w:rsidR="00D3572C" w:rsidRPr="00DE2067" w:rsidP="005D17A3" w14:paraId="79177E8C" w14:textId="77777777">
            <w:pPr>
              <w:jc w:val="center"/>
              <w:rPr>
                <w:iCs/>
              </w:rPr>
            </w:pPr>
            <w:r w:rsidRPr="00DE2067">
              <w:rPr>
                <w:iCs/>
              </w:rPr>
              <w:t>73%</w:t>
            </w:r>
          </w:p>
        </w:tc>
        <w:tc>
          <w:tcPr>
            <w:tcW w:w="1016" w:type="dxa"/>
            <w:tcBorders>
              <w:top w:val="nil"/>
              <w:left w:val="nil"/>
              <w:bottom w:val="double" w:sz="6" w:space="0" w:color="auto"/>
              <w:right w:val="nil"/>
            </w:tcBorders>
            <w:shd w:val="clear" w:color="auto" w:fill="auto"/>
            <w:noWrap/>
            <w:vAlign w:val="bottom"/>
            <w:hideMark/>
          </w:tcPr>
          <w:p w:rsidR="00D3572C" w:rsidRPr="00DE2067" w:rsidP="005D17A3" w14:paraId="155EB680" w14:textId="77777777">
            <w:pPr>
              <w:jc w:val="center"/>
            </w:pPr>
            <w:r w:rsidRPr="00DE2067">
              <w:t>2,893,267</w:t>
            </w:r>
          </w:p>
        </w:tc>
        <w:tc>
          <w:tcPr>
            <w:tcW w:w="866" w:type="dxa"/>
            <w:tcBorders>
              <w:top w:val="nil"/>
              <w:left w:val="nil"/>
              <w:bottom w:val="double" w:sz="6" w:space="0" w:color="auto"/>
              <w:right w:val="nil"/>
            </w:tcBorders>
            <w:shd w:val="clear" w:color="auto" w:fill="auto"/>
            <w:noWrap/>
            <w:vAlign w:val="bottom"/>
            <w:hideMark/>
          </w:tcPr>
          <w:p w:rsidR="00D3572C" w:rsidRPr="00DE2067" w:rsidP="005D17A3" w14:paraId="6D8C06DE" w14:textId="77777777">
            <w:pPr>
              <w:jc w:val="center"/>
            </w:pPr>
            <w:r w:rsidRPr="00DE2067">
              <w:t>115,827</w:t>
            </w:r>
          </w:p>
        </w:tc>
        <w:tc>
          <w:tcPr>
            <w:tcW w:w="733" w:type="dxa"/>
            <w:tcBorders>
              <w:top w:val="nil"/>
              <w:left w:val="nil"/>
              <w:bottom w:val="double" w:sz="6" w:space="0" w:color="auto"/>
              <w:right w:val="nil"/>
            </w:tcBorders>
            <w:shd w:val="clear" w:color="auto" w:fill="auto"/>
            <w:noWrap/>
            <w:vAlign w:val="bottom"/>
            <w:hideMark/>
          </w:tcPr>
          <w:p w:rsidR="00D3572C" w:rsidRPr="00DE2067" w:rsidP="005D17A3" w14:paraId="2FF05F98" w14:textId="77777777">
            <w:pPr>
              <w:jc w:val="center"/>
              <w:rPr>
                <w:iCs/>
              </w:rPr>
            </w:pPr>
            <w:r w:rsidRPr="00DE2067">
              <w:rPr>
                <w:iCs/>
              </w:rPr>
              <w:t>47%</w:t>
            </w:r>
          </w:p>
        </w:tc>
        <w:tc>
          <w:tcPr>
            <w:tcW w:w="733" w:type="dxa"/>
            <w:tcBorders>
              <w:top w:val="nil"/>
              <w:left w:val="nil"/>
              <w:bottom w:val="double" w:sz="6" w:space="0" w:color="auto"/>
              <w:right w:val="single" w:sz="4" w:space="0" w:color="auto"/>
            </w:tcBorders>
            <w:shd w:val="clear" w:color="auto" w:fill="auto"/>
            <w:noWrap/>
            <w:vAlign w:val="bottom"/>
            <w:hideMark/>
          </w:tcPr>
          <w:p w:rsidR="00D3572C" w:rsidRPr="00DE2067" w:rsidP="005D17A3" w14:paraId="33902841" w14:textId="77777777">
            <w:pPr>
              <w:jc w:val="center"/>
              <w:rPr>
                <w:iCs/>
              </w:rPr>
            </w:pPr>
            <w:r w:rsidRPr="00DE2067">
              <w:rPr>
                <w:iCs/>
              </w:rPr>
              <w:t>39%</w:t>
            </w:r>
          </w:p>
        </w:tc>
        <w:tc>
          <w:tcPr>
            <w:tcW w:w="871" w:type="dxa"/>
            <w:tcBorders>
              <w:top w:val="nil"/>
              <w:left w:val="nil"/>
              <w:bottom w:val="double" w:sz="6" w:space="0" w:color="auto"/>
              <w:right w:val="nil"/>
            </w:tcBorders>
            <w:shd w:val="clear" w:color="auto" w:fill="auto"/>
            <w:noWrap/>
            <w:vAlign w:val="bottom"/>
            <w:hideMark/>
          </w:tcPr>
          <w:p w:rsidR="00D3572C" w:rsidRPr="00DE2067" w:rsidP="005D17A3" w14:paraId="3C651DE1" w14:textId="77777777">
            <w:pPr>
              <w:jc w:val="center"/>
            </w:pPr>
            <w:r w:rsidRPr="00DE2067">
              <w:t>768</w:t>
            </w:r>
          </w:p>
        </w:tc>
        <w:tc>
          <w:tcPr>
            <w:tcW w:w="891" w:type="dxa"/>
            <w:tcBorders>
              <w:top w:val="nil"/>
              <w:left w:val="nil"/>
              <w:bottom w:val="double" w:sz="6" w:space="0" w:color="auto"/>
              <w:right w:val="nil"/>
            </w:tcBorders>
            <w:shd w:val="clear" w:color="auto" w:fill="auto"/>
            <w:noWrap/>
            <w:vAlign w:val="bottom"/>
            <w:hideMark/>
          </w:tcPr>
          <w:p w:rsidR="00D3572C" w:rsidRPr="00DE2067" w:rsidP="005D17A3" w14:paraId="0E381988" w14:textId="77777777">
            <w:pPr>
              <w:jc w:val="center"/>
            </w:pPr>
            <w:r w:rsidRPr="00DE2067">
              <w:t>43</w:t>
            </w:r>
          </w:p>
        </w:tc>
        <w:tc>
          <w:tcPr>
            <w:tcW w:w="733" w:type="dxa"/>
            <w:tcBorders>
              <w:top w:val="nil"/>
              <w:left w:val="nil"/>
              <w:bottom w:val="double" w:sz="6" w:space="0" w:color="auto"/>
              <w:right w:val="nil"/>
            </w:tcBorders>
            <w:shd w:val="clear" w:color="auto" w:fill="auto"/>
            <w:noWrap/>
            <w:vAlign w:val="bottom"/>
            <w:hideMark/>
          </w:tcPr>
          <w:p w:rsidR="00D3572C" w:rsidRPr="00DE2067" w:rsidP="005D17A3" w14:paraId="19383340" w14:textId="77777777">
            <w:pPr>
              <w:jc w:val="center"/>
              <w:rPr>
                <w:iCs/>
              </w:rPr>
            </w:pPr>
            <w:r w:rsidRPr="00DE2067">
              <w:rPr>
                <w:iCs/>
              </w:rPr>
              <w:t>23%</w:t>
            </w:r>
          </w:p>
        </w:tc>
        <w:tc>
          <w:tcPr>
            <w:tcW w:w="733" w:type="dxa"/>
            <w:tcBorders>
              <w:top w:val="nil"/>
              <w:left w:val="nil"/>
              <w:bottom w:val="double" w:sz="6" w:space="0" w:color="auto"/>
              <w:right w:val="single" w:sz="8" w:space="0" w:color="auto"/>
            </w:tcBorders>
            <w:shd w:val="clear" w:color="auto" w:fill="auto"/>
            <w:noWrap/>
            <w:vAlign w:val="bottom"/>
            <w:hideMark/>
          </w:tcPr>
          <w:p w:rsidR="00D3572C" w:rsidRPr="00DE2067" w:rsidP="005D17A3" w14:paraId="1C12E49C" w14:textId="77777777">
            <w:pPr>
              <w:jc w:val="center"/>
              <w:rPr>
                <w:iCs/>
              </w:rPr>
            </w:pPr>
            <w:r w:rsidRPr="00DE2067">
              <w:rPr>
                <w:iCs/>
              </w:rPr>
              <w:t>24%</w:t>
            </w:r>
          </w:p>
        </w:tc>
      </w:tr>
      <w:tr w14:paraId="1F801669" w14:textId="77777777" w:rsidTr="005D17A3">
        <w:tblPrEx>
          <w:tblW w:w="10708" w:type="dxa"/>
          <w:jc w:val="center"/>
          <w:tblLook w:val="04A0"/>
        </w:tblPrEx>
        <w:trPr>
          <w:trHeight w:val="117"/>
          <w:jc w:val="center"/>
        </w:trPr>
        <w:tc>
          <w:tcPr>
            <w:tcW w:w="1039" w:type="dxa"/>
            <w:tcBorders>
              <w:top w:val="nil"/>
              <w:left w:val="single" w:sz="8" w:space="0" w:color="auto"/>
              <w:bottom w:val="single" w:sz="8" w:space="0" w:color="auto"/>
              <w:right w:val="nil"/>
            </w:tcBorders>
            <w:shd w:val="clear" w:color="auto" w:fill="auto"/>
            <w:noWrap/>
            <w:vAlign w:val="bottom"/>
            <w:hideMark/>
          </w:tcPr>
          <w:p w:rsidR="00D3572C" w:rsidRPr="00DE2067" w:rsidP="005D17A3" w14:paraId="6E87C65C" w14:textId="77777777">
            <w:pPr>
              <w:jc w:val="right"/>
            </w:pPr>
            <w:r w:rsidRPr="00DE2067">
              <w:t>Total</w:t>
            </w:r>
          </w:p>
        </w:tc>
        <w:tc>
          <w:tcPr>
            <w:tcW w:w="866" w:type="dxa"/>
            <w:tcBorders>
              <w:top w:val="nil"/>
              <w:left w:val="single" w:sz="4" w:space="0" w:color="auto"/>
              <w:bottom w:val="single" w:sz="8" w:space="0" w:color="auto"/>
              <w:right w:val="nil"/>
            </w:tcBorders>
            <w:shd w:val="clear" w:color="auto" w:fill="auto"/>
            <w:noWrap/>
            <w:vAlign w:val="bottom"/>
            <w:hideMark/>
          </w:tcPr>
          <w:p w:rsidR="00D3572C" w:rsidRPr="00DE2067" w:rsidP="005D17A3" w14:paraId="69D19754" w14:textId="77777777">
            <w:pPr>
              <w:jc w:val="center"/>
            </w:pPr>
            <w:r w:rsidRPr="00DE2067">
              <w:t>325,414</w:t>
            </w:r>
          </w:p>
        </w:tc>
        <w:tc>
          <w:tcPr>
            <w:tcW w:w="761" w:type="dxa"/>
            <w:tcBorders>
              <w:top w:val="nil"/>
              <w:left w:val="nil"/>
              <w:bottom w:val="single" w:sz="8" w:space="0" w:color="auto"/>
              <w:right w:val="nil"/>
            </w:tcBorders>
            <w:shd w:val="clear" w:color="auto" w:fill="auto"/>
            <w:noWrap/>
            <w:vAlign w:val="bottom"/>
            <w:hideMark/>
          </w:tcPr>
          <w:p w:rsidR="00D3572C" w:rsidRPr="00DE2067" w:rsidP="005D17A3" w14:paraId="28A75E8A" w14:textId="77777777">
            <w:pPr>
              <w:jc w:val="center"/>
            </w:pPr>
            <w:r w:rsidRPr="00DE2067">
              <w:t>4,017</w:t>
            </w:r>
          </w:p>
        </w:tc>
        <w:tc>
          <w:tcPr>
            <w:tcW w:w="733" w:type="dxa"/>
            <w:tcBorders>
              <w:top w:val="nil"/>
              <w:left w:val="nil"/>
              <w:bottom w:val="single" w:sz="8" w:space="0" w:color="auto"/>
              <w:right w:val="nil"/>
            </w:tcBorders>
            <w:shd w:val="clear" w:color="auto" w:fill="auto"/>
            <w:noWrap/>
            <w:vAlign w:val="bottom"/>
            <w:hideMark/>
          </w:tcPr>
          <w:p w:rsidR="00D3572C" w:rsidRPr="00DE2067" w:rsidP="005D17A3" w14:paraId="37E292A0" w14:textId="77777777">
            <w:pPr>
              <w:jc w:val="center"/>
              <w:rPr>
                <w:iCs/>
              </w:rPr>
            </w:pPr>
            <w:r w:rsidRPr="00DE2067">
              <w:rPr>
                <w:iCs/>
              </w:rPr>
              <w:t>100%</w:t>
            </w:r>
          </w:p>
        </w:tc>
        <w:tc>
          <w:tcPr>
            <w:tcW w:w="733" w:type="dxa"/>
            <w:tcBorders>
              <w:top w:val="nil"/>
              <w:left w:val="nil"/>
              <w:bottom w:val="single" w:sz="8" w:space="0" w:color="auto"/>
              <w:right w:val="single" w:sz="4" w:space="0" w:color="auto"/>
            </w:tcBorders>
            <w:shd w:val="clear" w:color="auto" w:fill="auto"/>
            <w:noWrap/>
            <w:vAlign w:val="bottom"/>
            <w:hideMark/>
          </w:tcPr>
          <w:p w:rsidR="00D3572C" w:rsidRPr="00DE2067" w:rsidP="005D17A3" w14:paraId="0A1FCA56" w14:textId="77777777">
            <w:pPr>
              <w:jc w:val="center"/>
              <w:rPr>
                <w:iCs/>
              </w:rPr>
            </w:pPr>
            <w:r w:rsidRPr="00DE2067">
              <w:rPr>
                <w:iCs/>
              </w:rPr>
              <w:t>100%</w:t>
            </w:r>
          </w:p>
        </w:tc>
        <w:tc>
          <w:tcPr>
            <w:tcW w:w="1016" w:type="dxa"/>
            <w:tcBorders>
              <w:top w:val="nil"/>
              <w:left w:val="nil"/>
              <w:bottom w:val="single" w:sz="8" w:space="0" w:color="auto"/>
              <w:right w:val="nil"/>
            </w:tcBorders>
            <w:shd w:val="clear" w:color="auto" w:fill="auto"/>
            <w:noWrap/>
            <w:vAlign w:val="bottom"/>
            <w:hideMark/>
          </w:tcPr>
          <w:p w:rsidR="00D3572C" w:rsidRPr="00DE2067" w:rsidP="005D17A3" w14:paraId="00A2004A" w14:textId="77777777">
            <w:pPr>
              <w:jc w:val="center"/>
            </w:pPr>
            <w:r w:rsidRPr="00DE2067">
              <w:t>6,193,070</w:t>
            </w:r>
          </w:p>
        </w:tc>
        <w:tc>
          <w:tcPr>
            <w:tcW w:w="866" w:type="dxa"/>
            <w:tcBorders>
              <w:top w:val="nil"/>
              <w:left w:val="nil"/>
              <w:bottom w:val="single" w:sz="8" w:space="0" w:color="auto"/>
              <w:right w:val="nil"/>
            </w:tcBorders>
            <w:shd w:val="clear" w:color="auto" w:fill="auto"/>
            <w:noWrap/>
            <w:vAlign w:val="bottom"/>
            <w:hideMark/>
          </w:tcPr>
          <w:p w:rsidR="00D3572C" w:rsidRPr="00DE2067" w:rsidP="005D17A3" w14:paraId="61F1CF74" w14:textId="77777777">
            <w:pPr>
              <w:jc w:val="center"/>
            </w:pPr>
            <w:r w:rsidRPr="00DE2067">
              <w:t>293,405</w:t>
            </w:r>
          </w:p>
        </w:tc>
        <w:tc>
          <w:tcPr>
            <w:tcW w:w="733" w:type="dxa"/>
            <w:tcBorders>
              <w:top w:val="nil"/>
              <w:left w:val="nil"/>
              <w:bottom w:val="single" w:sz="8" w:space="0" w:color="auto"/>
              <w:right w:val="nil"/>
            </w:tcBorders>
            <w:shd w:val="clear" w:color="auto" w:fill="auto"/>
            <w:noWrap/>
            <w:vAlign w:val="bottom"/>
            <w:hideMark/>
          </w:tcPr>
          <w:p w:rsidR="00D3572C" w:rsidRPr="00DE2067" w:rsidP="005D17A3" w14:paraId="14B0744E" w14:textId="77777777">
            <w:pPr>
              <w:jc w:val="center"/>
              <w:rPr>
                <w:iCs/>
              </w:rPr>
            </w:pPr>
            <w:r w:rsidRPr="00DE2067">
              <w:rPr>
                <w:iCs/>
              </w:rPr>
              <w:t>100%</w:t>
            </w:r>
          </w:p>
        </w:tc>
        <w:tc>
          <w:tcPr>
            <w:tcW w:w="733" w:type="dxa"/>
            <w:tcBorders>
              <w:top w:val="nil"/>
              <w:left w:val="nil"/>
              <w:bottom w:val="single" w:sz="8" w:space="0" w:color="auto"/>
              <w:right w:val="single" w:sz="4" w:space="0" w:color="auto"/>
            </w:tcBorders>
            <w:shd w:val="clear" w:color="auto" w:fill="auto"/>
            <w:noWrap/>
            <w:vAlign w:val="bottom"/>
            <w:hideMark/>
          </w:tcPr>
          <w:p w:rsidR="00D3572C" w:rsidRPr="00DE2067" w:rsidP="005D17A3" w14:paraId="506A8723" w14:textId="77777777">
            <w:pPr>
              <w:jc w:val="center"/>
              <w:rPr>
                <w:iCs/>
              </w:rPr>
            </w:pPr>
            <w:r w:rsidRPr="00DE2067">
              <w:rPr>
                <w:iCs/>
              </w:rPr>
              <w:t>100%</w:t>
            </w:r>
          </w:p>
        </w:tc>
        <w:tc>
          <w:tcPr>
            <w:tcW w:w="871" w:type="dxa"/>
            <w:tcBorders>
              <w:top w:val="nil"/>
              <w:left w:val="nil"/>
              <w:bottom w:val="single" w:sz="8" w:space="0" w:color="auto"/>
              <w:right w:val="nil"/>
            </w:tcBorders>
            <w:shd w:val="clear" w:color="auto" w:fill="auto"/>
            <w:noWrap/>
            <w:vAlign w:val="bottom"/>
            <w:hideMark/>
          </w:tcPr>
          <w:p w:rsidR="00D3572C" w:rsidRPr="00DE2067" w:rsidP="005D17A3" w14:paraId="21CF2967" w14:textId="77777777">
            <w:pPr>
              <w:jc w:val="center"/>
            </w:pPr>
            <w:r w:rsidRPr="00DE2067">
              <w:t>3,354</w:t>
            </w:r>
          </w:p>
        </w:tc>
        <w:tc>
          <w:tcPr>
            <w:tcW w:w="891" w:type="dxa"/>
            <w:tcBorders>
              <w:top w:val="nil"/>
              <w:left w:val="nil"/>
              <w:bottom w:val="single" w:sz="8" w:space="0" w:color="auto"/>
              <w:right w:val="nil"/>
            </w:tcBorders>
            <w:shd w:val="clear" w:color="auto" w:fill="auto"/>
            <w:noWrap/>
            <w:vAlign w:val="bottom"/>
            <w:hideMark/>
          </w:tcPr>
          <w:p w:rsidR="00D3572C" w:rsidRPr="00DE2067" w:rsidP="005D17A3" w14:paraId="2374062C" w14:textId="77777777">
            <w:pPr>
              <w:jc w:val="center"/>
            </w:pPr>
            <w:r w:rsidRPr="00DE2067">
              <w:t>182</w:t>
            </w:r>
          </w:p>
        </w:tc>
        <w:tc>
          <w:tcPr>
            <w:tcW w:w="733" w:type="dxa"/>
            <w:tcBorders>
              <w:top w:val="nil"/>
              <w:left w:val="nil"/>
              <w:bottom w:val="single" w:sz="8" w:space="0" w:color="auto"/>
              <w:right w:val="nil"/>
            </w:tcBorders>
            <w:shd w:val="clear" w:color="auto" w:fill="auto"/>
            <w:noWrap/>
            <w:vAlign w:val="bottom"/>
            <w:hideMark/>
          </w:tcPr>
          <w:p w:rsidR="00D3572C" w:rsidRPr="00DE2067" w:rsidP="005D17A3" w14:paraId="351D90D7" w14:textId="77777777">
            <w:pPr>
              <w:jc w:val="center"/>
              <w:rPr>
                <w:iCs/>
              </w:rPr>
            </w:pPr>
            <w:r w:rsidRPr="00DE2067">
              <w:rPr>
                <w:iCs/>
              </w:rPr>
              <w:t>100%</w:t>
            </w:r>
          </w:p>
        </w:tc>
        <w:tc>
          <w:tcPr>
            <w:tcW w:w="733" w:type="dxa"/>
            <w:tcBorders>
              <w:top w:val="nil"/>
              <w:left w:val="nil"/>
              <w:bottom w:val="single" w:sz="8" w:space="0" w:color="auto"/>
              <w:right w:val="single" w:sz="8" w:space="0" w:color="auto"/>
            </w:tcBorders>
            <w:shd w:val="clear" w:color="auto" w:fill="auto"/>
            <w:noWrap/>
            <w:vAlign w:val="bottom"/>
            <w:hideMark/>
          </w:tcPr>
          <w:p w:rsidR="00D3572C" w:rsidRPr="00DE2067" w:rsidP="005D17A3" w14:paraId="4A4A4D30" w14:textId="77777777">
            <w:pPr>
              <w:jc w:val="center"/>
              <w:rPr>
                <w:iCs/>
              </w:rPr>
            </w:pPr>
            <w:r w:rsidRPr="00DE2067">
              <w:rPr>
                <w:iCs/>
              </w:rPr>
              <w:t>100%</w:t>
            </w:r>
          </w:p>
        </w:tc>
      </w:tr>
    </w:tbl>
    <w:p w:rsidR="00D3572C" w:rsidP="00D26ABA" w14:paraId="5D54A873" w14:textId="36EFE0E4">
      <w:pPr>
        <w:spacing w:before="120" w:after="120"/>
        <w:ind w:firstLine="720"/>
      </w:pPr>
      <w:r>
        <w:rPr>
          <w:i/>
        </w:rPr>
        <w:t>Comparison of Coverage by Number of Providers.</w:t>
      </w:r>
      <w:r>
        <w:t xml:space="preserve">  </w:t>
      </w:r>
      <w:r w:rsidRPr="00D85509">
        <w:t xml:space="preserve">As </w:t>
      </w:r>
      <w:r w:rsidR="004C202F">
        <w:t>demonstrated by</w:t>
      </w:r>
      <w:r w:rsidRPr="00D85509">
        <w:t xml:space="preserve"> Figure </w:t>
      </w:r>
      <w:r>
        <w:t>8</w:t>
      </w:r>
      <w:r w:rsidRPr="00D85509">
        <w:t xml:space="preserve">, </w:t>
      </w:r>
      <w:r w:rsidR="006D029B">
        <w:t>in terms of both covered population and covered road miles</w:t>
      </w:r>
      <w:r w:rsidRPr="00D85509">
        <w:t xml:space="preserve">, </w:t>
      </w:r>
      <w:r w:rsidR="006D029B">
        <w:t>4G LTE cover</w:t>
      </w:r>
      <w:r w:rsidR="00AD2A9F">
        <w:t xml:space="preserve">age by at least one provider </w:t>
      </w:r>
      <w:r w:rsidR="00AD2A9F">
        <w:t>lags behind</w:t>
      </w:r>
      <w:r w:rsidR="00AD2A9F">
        <w:t xml:space="preserve"> coverage on non-</w:t>
      </w:r>
      <w:r w:rsidRPr="00D85509">
        <w:t>Tribal lands.  In addition, for Tribal areas where there is coverage, it is more likely that non-Tribal lands will be covered by a greater number of providers than Tribal lands.</w:t>
      </w:r>
    </w:p>
    <w:p w:rsidR="002919C4" w:rsidRPr="002919C4" w:rsidP="002919C4" w14:paraId="337204C0" w14:textId="47048C41">
      <w:pPr>
        <w:keepNext/>
        <w:spacing w:after="120"/>
        <w:jc w:val="center"/>
        <w:rPr>
          <w:b/>
        </w:rPr>
      </w:pPr>
      <w:r w:rsidRPr="002919C4">
        <w:rPr>
          <w:b/>
        </w:rPr>
        <w:t>Fig. 8</w:t>
      </w:r>
    </w:p>
    <w:p w:rsidR="00DA7400" w:rsidRPr="00D85509" w:rsidP="002919C4" w14:paraId="1F07E2F4" w14:textId="7A222CB9">
      <w:pPr>
        <w:pStyle w:val="Header"/>
        <w:keepNext/>
        <w:jc w:val="center"/>
      </w:pPr>
      <w:r>
        <w:rPr>
          <w:noProof/>
        </w:rPr>
        <w:drawing>
          <wp:inline distT="0" distB="0" distL="0" distR="0">
            <wp:extent cx="5943600" cy="3302000"/>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203525" name=""/>
                    <pic:cNvPicPr/>
                  </pic:nvPicPr>
                  <pic:blipFill>
                    <a:blip xmlns:r="http://schemas.openxmlformats.org/officeDocument/2006/relationships" r:embed="rId18">
                      <a:extLst>
                        <a:ext uri="{96DAC541-7B7A-43D3-8B79-37D633B846F1}">
                          <asvg:svgBlip xmlns:asvg="http://schemas.microsoft.com/office/drawing/2016/SVG/main" r:embed="rId19"/>
                        </a:ext>
                      </a:extLst>
                    </a:blip>
                    <a:stretch>
                      <a:fillRect/>
                    </a:stretch>
                  </pic:blipFill>
                  <pic:spPr>
                    <a:xfrm>
                      <a:off x="0" y="0"/>
                      <a:ext cx="5943600" cy="3302000"/>
                    </a:xfrm>
                    <a:prstGeom prst="rect">
                      <a:avLst/>
                    </a:prstGeom>
                  </pic:spPr>
                </pic:pic>
              </a:graphicData>
            </a:graphic>
          </wp:inline>
        </w:drawing>
      </w:r>
    </w:p>
    <w:p w:rsidR="008E407B" w:rsidRPr="00D85509" w:rsidP="007F64CB" w14:paraId="4F4CA070" w14:textId="297E5223">
      <w:pPr>
        <w:pStyle w:val="Heading1"/>
      </w:pPr>
      <w:bookmarkStart w:id="15" w:name="_Toc2857474"/>
      <w:bookmarkStart w:id="16" w:name="_Toc6578197"/>
      <w:r w:rsidRPr="00D85509">
        <w:t>CONTINUING</w:t>
      </w:r>
      <w:r w:rsidRPr="00D85509" w:rsidR="00434CBA">
        <w:t xml:space="preserve"> </w:t>
      </w:r>
      <w:r w:rsidRPr="00D85509">
        <w:t>COMMISSION EFFORTS TO INCREASE TRIBAL DEPLOYMENT</w:t>
      </w:r>
      <w:bookmarkEnd w:id="15"/>
      <w:bookmarkEnd w:id="16"/>
    </w:p>
    <w:p w:rsidR="00ED19B7" w:rsidRPr="00D85509" w:rsidP="007F64CB" w14:paraId="1F4134BD" w14:textId="46CC2018">
      <w:pPr>
        <w:spacing w:after="120"/>
        <w:ind w:firstLine="720"/>
      </w:pPr>
      <w:r w:rsidRPr="00D85509">
        <w:t>T</w:t>
      </w:r>
      <w:r w:rsidRPr="00D85509">
        <w:t xml:space="preserve">he Commission </w:t>
      </w:r>
      <w:r w:rsidRPr="00D85509" w:rsidR="00193F9C">
        <w:t xml:space="preserve">has </w:t>
      </w:r>
      <w:r w:rsidRPr="00D85509">
        <w:t xml:space="preserve">consistently sought to </w:t>
      </w:r>
      <w:r w:rsidR="00193F9C">
        <w:t>leverage</w:t>
      </w:r>
      <w:r w:rsidRPr="00D85509" w:rsidR="00193F9C">
        <w:t xml:space="preserve"> </w:t>
      </w:r>
      <w:r w:rsidRPr="00D85509">
        <w:t xml:space="preserve">its available programs to </w:t>
      </w:r>
      <w:r w:rsidRPr="00D85509">
        <w:t xml:space="preserve">increase </w:t>
      </w:r>
      <w:r w:rsidRPr="00D85509" w:rsidR="003E0699">
        <w:t xml:space="preserve">the availability of broadband on </w:t>
      </w:r>
      <w:r w:rsidRPr="00D85509">
        <w:t xml:space="preserve">Tribal </w:t>
      </w:r>
      <w:r w:rsidRPr="00D85509" w:rsidR="003E0699">
        <w:t>lands</w:t>
      </w:r>
      <w:r w:rsidRPr="00D85509">
        <w:t xml:space="preserve">.  </w:t>
      </w:r>
      <w:r w:rsidR="002777B3">
        <w:t>I</w:t>
      </w:r>
      <w:r w:rsidRPr="00D85509">
        <w:t>n recent years, t</w:t>
      </w:r>
      <w:r w:rsidRPr="00D85509">
        <w:t>he</w:t>
      </w:r>
      <w:r w:rsidRPr="00D85509">
        <w:t xml:space="preserve"> Commission has </w:t>
      </w:r>
      <w:r w:rsidR="00E24A0F">
        <w:t xml:space="preserve">reformed universal service programs, </w:t>
      </w:r>
      <w:r w:rsidRPr="00D85509">
        <w:t>expand</w:t>
      </w:r>
      <w:r w:rsidRPr="00D85509">
        <w:t>ed</w:t>
      </w:r>
      <w:r w:rsidRPr="00D85509">
        <w:t xml:space="preserve"> direct consultation with Tribes, and </w:t>
      </w:r>
      <w:r w:rsidRPr="00D85509">
        <w:t xml:space="preserve">made available </w:t>
      </w:r>
      <w:r w:rsidRPr="00D85509">
        <w:t xml:space="preserve">additional, valuable spectrum resources. </w:t>
      </w:r>
      <w:r w:rsidRPr="00D85509" w:rsidR="003E0699">
        <w:t xml:space="preserve"> Because many of these initiatives have been implemented</w:t>
      </w:r>
      <w:r w:rsidRPr="00D85509" w:rsidR="00AC6914">
        <w:t xml:space="preserve"> </w:t>
      </w:r>
      <w:r w:rsidRPr="00D85509" w:rsidR="00F91E2E">
        <w:t xml:space="preserve">recently, </w:t>
      </w:r>
      <w:r w:rsidRPr="00D85509" w:rsidR="003E0699">
        <w:t>t</w:t>
      </w:r>
      <w:r w:rsidRPr="00D85509">
        <w:t>he</w:t>
      </w:r>
      <w:r w:rsidR="005A037C">
        <w:t xml:space="preserve"> deployment</w:t>
      </w:r>
      <w:r w:rsidRPr="00D85509" w:rsidR="003E0699">
        <w:t xml:space="preserve"> data </w:t>
      </w:r>
      <w:r w:rsidR="005A037C">
        <w:t>discussed</w:t>
      </w:r>
      <w:r w:rsidRPr="00D85509" w:rsidR="005A037C">
        <w:t xml:space="preserve"> </w:t>
      </w:r>
      <w:r w:rsidRPr="00D85509" w:rsidR="003E0699">
        <w:t>above do not</w:t>
      </w:r>
      <w:r w:rsidRPr="00D85509" w:rsidR="00AC6914">
        <w:t xml:space="preserve"> yet</w:t>
      </w:r>
      <w:r w:rsidRPr="00D85509" w:rsidR="003E0699">
        <w:t xml:space="preserve"> </w:t>
      </w:r>
      <w:r w:rsidRPr="00D85509" w:rsidR="00641C65">
        <w:t xml:space="preserve">fully </w:t>
      </w:r>
      <w:r w:rsidRPr="00D85509" w:rsidR="003E0699">
        <w:t>reflect the increased outreach and investment</w:t>
      </w:r>
      <w:r w:rsidRPr="00D85509" w:rsidR="00641C65">
        <w:t xml:space="preserve"> on Tr</w:t>
      </w:r>
      <w:r w:rsidRPr="00D85509" w:rsidR="00CF56BB">
        <w:t>ibal lands</w:t>
      </w:r>
      <w:r w:rsidRPr="00D85509" w:rsidR="003E0699">
        <w:t xml:space="preserve">.  </w:t>
      </w:r>
      <w:r w:rsidRPr="00D85509" w:rsidR="00F13ED2">
        <w:t>T</w:t>
      </w:r>
      <w:r w:rsidRPr="00D85509" w:rsidR="003E0699">
        <w:t>he Commission anticipates</w:t>
      </w:r>
      <w:r w:rsidRPr="00D85509" w:rsidR="00F13ED2">
        <w:t xml:space="preserve"> that</w:t>
      </w:r>
      <w:r w:rsidRPr="00D85509" w:rsidR="003E0699">
        <w:t xml:space="preserve"> </w:t>
      </w:r>
      <w:r w:rsidRPr="00D85509" w:rsidR="00CF56BB">
        <w:t xml:space="preserve">more recent </w:t>
      </w:r>
      <w:r w:rsidRPr="00D85509">
        <w:t>reforms</w:t>
      </w:r>
      <w:r w:rsidRPr="00D85509">
        <w:t xml:space="preserve"> </w:t>
      </w:r>
      <w:r w:rsidRPr="00D85509" w:rsidR="00F13ED2">
        <w:t>will</w:t>
      </w:r>
      <w:r w:rsidRPr="00D85509">
        <w:t xml:space="preserve"> drive </w:t>
      </w:r>
      <w:r w:rsidRPr="00D85509">
        <w:t xml:space="preserve">increased broadband deployment on Tribal lands.  </w:t>
      </w:r>
    </w:p>
    <w:p w:rsidR="008E407B" w:rsidRPr="00D85509" w:rsidP="007F64CB" w14:paraId="318AEE38" w14:textId="5AD488AA">
      <w:pPr>
        <w:pStyle w:val="Heading2"/>
      </w:pPr>
      <w:bookmarkStart w:id="17" w:name="_Toc2857476"/>
      <w:bookmarkStart w:id="18" w:name="_Toc6578199"/>
      <w:r w:rsidRPr="00D85509">
        <w:rPr>
          <w:rFonts w:eastAsia="Calibri"/>
        </w:rPr>
        <w:t>Universal Service Programs</w:t>
      </w:r>
      <w:bookmarkEnd w:id="17"/>
      <w:bookmarkEnd w:id="18"/>
    </w:p>
    <w:p w:rsidR="008E407B" w:rsidRPr="00D85509" w:rsidP="007F64CB" w14:paraId="319431B7" w14:textId="40592EAF">
      <w:pPr>
        <w:spacing w:after="120"/>
        <w:ind w:firstLine="720"/>
      </w:pPr>
      <w:r w:rsidRPr="00D85509">
        <w:t>T</w:t>
      </w:r>
      <w:r w:rsidRPr="00D85509">
        <w:t xml:space="preserve">he primary means </w:t>
      </w:r>
      <w:r w:rsidR="00A63C22">
        <w:t>of</w:t>
      </w:r>
      <w:r w:rsidRPr="00D85509" w:rsidR="00A63C22">
        <w:t xml:space="preserve"> </w:t>
      </w:r>
      <w:r w:rsidRPr="00D85509">
        <w:t>achiev</w:t>
      </w:r>
      <w:r w:rsidR="00A63C22">
        <w:t>ing</w:t>
      </w:r>
      <w:r w:rsidRPr="00D85509">
        <w:t xml:space="preserve"> the Commission’s goal of increasing the availability of fixed and mobile broadband services on Tribal lands is</w:t>
      </w:r>
      <w:r w:rsidRPr="00D85509" w:rsidR="00AC6914">
        <w:t xml:space="preserve"> through</w:t>
      </w:r>
      <w:r w:rsidRPr="00D85509">
        <w:t xml:space="preserve"> the </w:t>
      </w:r>
      <w:r w:rsidRPr="00D85509" w:rsidR="00436927">
        <w:t>universal service program</w:t>
      </w:r>
      <w:r w:rsidRPr="00D85509">
        <w:t xml:space="preserve">.  The Fund targets support to rural areas, including Tribal lands, through four </w:t>
      </w:r>
      <w:r w:rsidRPr="00D85509" w:rsidR="00A025C6">
        <w:t>main programs</w:t>
      </w:r>
      <w:r w:rsidRPr="00D85509">
        <w:t>:  High-Cost, Lifeline, E-Rate, and Rural Health Care.  In establishing or revising rules governing each of these programs, the Commission</w:t>
      </w:r>
      <w:r w:rsidRPr="00D85509" w:rsidR="00BB1735">
        <w:t xml:space="preserve"> has</w:t>
      </w:r>
      <w:r w:rsidRPr="00D85509">
        <w:t xml:space="preserve"> consider</w:t>
      </w:r>
      <w:r w:rsidRPr="00D85509" w:rsidR="00BB1735">
        <w:t>ed</w:t>
      </w:r>
      <w:r w:rsidRPr="00D85509">
        <w:t xml:space="preserve"> the impact of deployment on Tribal lands</w:t>
      </w:r>
      <w:r w:rsidRPr="00D85509" w:rsidR="00A037D2">
        <w:t xml:space="preserve"> and aims to </w:t>
      </w:r>
      <w:r w:rsidRPr="00D85509">
        <w:t>promot</w:t>
      </w:r>
      <w:r w:rsidRPr="00D85509" w:rsidR="00A037D2">
        <w:t>e</w:t>
      </w:r>
      <w:r w:rsidRPr="00D85509">
        <w:t xml:space="preserve"> deployment </w:t>
      </w:r>
      <w:r w:rsidRPr="00D85509" w:rsidR="00A037D2">
        <w:t>in these areas</w:t>
      </w:r>
      <w:r w:rsidRPr="00D85509" w:rsidR="004A4CA2">
        <w:t>.</w:t>
      </w:r>
    </w:p>
    <w:p w:rsidR="008E407B" w:rsidRPr="00D85509" w:rsidP="00395ED0" w14:paraId="55F6D5DC" w14:textId="27624BBC">
      <w:pPr>
        <w:pStyle w:val="Heading3"/>
      </w:pPr>
      <w:bookmarkStart w:id="19" w:name="_Toc2857477"/>
      <w:bookmarkStart w:id="20" w:name="_Toc6578200"/>
      <w:r w:rsidRPr="00D85509">
        <w:t>H</w:t>
      </w:r>
      <w:r w:rsidRPr="00D85509">
        <w:t>igh-Cost Program</w:t>
      </w:r>
      <w:bookmarkEnd w:id="19"/>
      <w:bookmarkEnd w:id="20"/>
    </w:p>
    <w:p w:rsidR="008E407B" w:rsidRPr="00D85509" w:rsidP="00D26ABA" w14:paraId="797736A7" w14:textId="3860BEB3">
      <w:pPr>
        <w:spacing w:after="120"/>
        <w:ind w:firstLine="720"/>
      </w:pPr>
      <w:r w:rsidRPr="00D85509">
        <w:t xml:space="preserve">Support awarded </w:t>
      </w:r>
      <w:r w:rsidRPr="00D85509" w:rsidR="00AA68E4">
        <w:t xml:space="preserve">to fixed and mobile carriers that serve Tribal lands </w:t>
      </w:r>
      <w:r w:rsidRPr="00D85509">
        <w:t xml:space="preserve">through the high-cost program </w:t>
      </w:r>
      <w:r w:rsidR="00A63C22">
        <w:t>is a prime example of</w:t>
      </w:r>
      <w:r w:rsidRPr="00D85509" w:rsidR="00A63C22">
        <w:t xml:space="preserve"> </w:t>
      </w:r>
      <w:r w:rsidRPr="00D85509">
        <w:t>the Commission’s</w:t>
      </w:r>
      <w:r w:rsidR="00A63C22">
        <w:t xml:space="preserve"> efforts to deliver on its</w:t>
      </w:r>
      <w:r w:rsidRPr="00D85509">
        <w:t xml:space="preserve"> commitment to closing the digital divide on Tribal lands</w:t>
      </w:r>
      <w:r w:rsidRPr="00D85509" w:rsidR="00AA68E4">
        <w:t>.</w:t>
      </w:r>
      <w:r w:rsidRPr="00D85509" w:rsidR="00446963">
        <w:t xml:space="preserve">  By</w:t>
      </w:r>
      <w:r w:rsidRPr="00D85509">
        <w:t xml:space="preserve"> providing a dedicated funding mechanism where needed</w:t>
      </w:r>
      <w:r w:rsidRPr="00D85509" w:rsidR="00AA68E4">
        <w:t>, the Commission is making available additional resources</w:t>
      </w:r>
      <w:r w:rsidR="00A63C22">
        <w:t xml:space="preserve"> exclusively</w:t>
      </w:r>
      <w:r w:rsidRPr="00D85509" w:rsidR="00AA68E4">
        <w:t xml:space="preserve"> for carriers </w:t>
      </w:r>
      <w:r w:rsidRPr="00D85509">
        <w:t>serving Tribal lands to maintain and expand voice and broadband networks.</w:t>
      </w:r>
      <w:r w:rsidRPr="00D85509">
        <w:rPr>
          <w:rStyle w:val="FootnoteReference"/>
          <w:rFonts w:eastAsia="Symbol"/>
          <w:sz w:val="22"/>
        </w:rPr>
        <w:t xml:space="preserve"> </w:t>
      </w:r>
      <w:r>
        <w:rPr>
          <w:rStyle w:val="FootnoteReference"/>
          <w:rFonts w:eastAsia="Symbol"/>
          <w:sz w:val="22"/>
        </w:rPr>
        <w:footnoteReference w:id="26"/>
      </w:r>
      <w:r w:rsidRPr="00D85509">
        <w:t xml:space="preserve">  </w:t>
      </w:r>
    </w:p>
    <w:p w:rsidR="00C80FD4" w:rsidRPr="00D85509" w:rsidP="007A2107" w14:paraId="249CD378" w14:textId="2C6130B7">
      <w:pPr>
        <w:spacing w:after="120"/>
        <w:ind w:firstLine="720"/>
      </w:pPr>
      <w:r w:rsidRPr="00D85509">
        <w:rPr>
          <w:i/>
          <w:iCs/>
        </w:rPr>
        <w:t>Fixed Services</w:t>
      </w:r>
      <w:r w:rsidRPr="00D85509">
        <w:t xml:space="preserve">.  </w:t>
      </w:r>
      <w:r w:rsidRPr="00D85509" w:rsidR="000A5764">
        <w:t xml:space="preserve">The high-cost program has two separate tracks for fixed carriers, based generally on the carrier’s size.  For larger incumbent carriers, known as price cap carriers, the Commission has </w:t>
      </w:r>
      <w:r w:rsidRPr="00D85509" w:rsidR="000A5764">
        <w:t xml:space="preserve">offered </w:t>
      </w:r>
      <w:r w:rsidRPr="00D85509" w:rsidR="004F0458">
        <w:t xml:space="preserve">universal service </w:t>
      </w:r>
      <w:r w:rsidRPr="00D85509" w:rsidR="000A5764">
        <w:t xml:space="preserve">support through the </w:t>
      </w:r>
      <w:r w:rsidRPr="00D85509" w:rsidR="000A5764">
        <w:rPr>
          <w:shd w:val="clear" w:color="auto" w:fill="FFFFFF"/>
        </w:rPr>
        <w:t xml:space="preserve">Connect America Fund </w:t>
      </w:r>
      <w:r w:rsidRPr="00D85509" w:rsidR="004F0458">
        <w:rPr>
          <w:shd w:val="clear" w:color="auto" w:fill="FFFFFF"/>
        </w:rPr>
        <w:t xml:space="preserve">(CAF).  </w:t>
      </w:r>
      <w:r w:rsidRPr="00D85509">
        <w:t>Phase II</w:t>
      </w:r>
      <w:r w:rsidRPr="00D85509" w:rsidR="0091447C">
        <w:t xml:space="preserve"> of the CAF</w:t>
      </w:r>
      <w:r w:rsidRPr="00D85509" w:rsidR="00EF2F1E">
        <w:t xml:space="preserve"> employed a two-step approach to</w:t>
      </w:r>
      <w:r w:rsidRPr="00D85509">
        <w:t xml:space="preserve"> provide ongoing support to deploy, provision, and maintain voice and broadband services in areas lacking br</w:t>
      </w:r>
      <w:r w:rsidRPr="00D85509" w:rsidR="00F57B48">
        <w:t>oadband access, including remote</w:t>
      </w:r>
      <w:r w:rsidRPr="00D85509" w:rsidR="00AA68E4">
        <w:t xml:space="preserve"> </w:t>
      </w:r>
      <w:r w:rsidRPr="00D85509">
        <w:t xml:space="preserve">Tribal </w:t>
      </w:r>
      <w:r w:rsidRPr="00D85509" w:rsidR="00F57B48">
        <w:t>areas</w:t>
      </w:r>
      <w:r w:rsidRPr="00D85509">
        <w:t xml:space="preserve">.  </w:t>
      </w:r>
      <w:r w:rsidRPr="00D85509" w:rsidR="0017498F">
        <w:t>In the initial stage</w:t>
      </w:r>
      <w:r w:rsidRPr="00D85509" w:rsidR="00CD3F7B">
        <w:t>, t</w:t>
      </w:r>
      <w:r w:rsidRPr="00D85509">
        <w:t>en carriers</w:t>
      </w:r>
      <w:r w:rsidRPr="00D85509" w:rsidR="00A87BD2">
        <w:t xml:space="preserve"> </w:t>
      </w:r>
      <w:r w:rsidRPr="00D85509">
        <w:t>accepted statewide offers</w:t>
      </w:r>
      <w:r w:rsidRPr="00D85509" w:rsidR="009A3C80">
        <w:t xml:space="preserve"> totaling </w:t>
      </w:r>
      <w:r w:rsidRPr="00D85509">
        <w:t>over $1.5 billion in annual support for rural broadband deployment to serve over 3.6 million homes and businesses by the end of 2020.</w:t>
      </w:r>
      <w:r>
        <w:rPr>
          <w:vertAlign w:val="superscript"/>
        </w:rPr>
        <w:footnoteReference w:id="27"/>
      </w:r>
      <w:r w:rsidRPr="00D85509">
        <w:t xml:space="preserve">  </w:t>
      </w:r>
      <w:r w:rsidRPr="00D85509" w:rsidR="00CD3F7B">
        <w:t>The Commission</w:t>
      </w:r>
      <w:r w:rsidRPr="00D85509">
        <w:t xml:space="preserve"> anticipate</w:t>
      </w:r>
      <w:r w:rsidRPr="00D85509" w:rsidR="00CD3F7B">
        <w:t>s</w:t>
      </w:r>
      <w:r w:rsidRPr="00D85509">
        <w:t xml:space="preserve"> that this support, along with carrier investment, will expand broadband to nearly 7.3 million rural consumers in 45 states and one U.S. territory, including Tribal lands.</w:t>
      </w:r>
      <w:r>
        <w:rPr>
          <w:rStyle w:val="FootnoteReference"/>
          <w:rFonts w:eastAsia="Symbol"/>
          <w:sz w:val="24"/>
          <w:szCs w:val="24"/>
        </w:rPr>
        <w:footnoteReference w:id="28"/>
      </w:r>
      <w:r w:rsidRPr="00D85509">
        <w:t xml:space="preserve">  </w:t>
      </w:r>
    </w:p>
    <w:p w:rsidR="008E407B" w:rsidRPr="00D85509" w:rsidP="007F64CB" w14:paraId="7B689BC4" w14:textId="4ECC3D4A">
      <w:pPr>
        <w:spacing w:after="120"/>
        <w:ind w:firstLine="720"/>
      </w:pPr>
      <w:r w:rsidRPr="00D85509">
        <w:t xml:space="preserve">In areas where </w:t>
      </w:r>
      <w:r w:rsidRPr="00D85509" w:rsidR="008C4E64">
        <w:t xml:space="preserve">price cap incumbent </w:t>
      </w:r>
      <w:r w:rsidRPr="00D85509">
        <w:t xml:space="preserve">carriers declined </w:t>
      </w:r>
      <w:r w:rsidRPr="00D85509" w:rsidR="008C4E64">
        <w:t xml:space="preserve">this </w:t>
      </w:r>
      <w:r w:rsidRPr="00D85509">
        <w:t>support, the Commission employed a competitive bidding process to award support.  The CAF Phase II auction</w:t>
      </w:r>
      <w:r w:rsidRPr="00D85509" w:rsidR="004F0458">
        <w:t xml:space="preserve"> closed</w:t>
      </w:r>
      <w:r w:rsidRPr="00D85509">
        <w:t xml:space="preserve"> in August 2018</w:t>
      </w:r>
      <w:r w:rsidRPr="00D85509" w:rsidR="004F0458">
        <w:t xml:space="preserve"> and</w:t>
      </w:r>
      <w:r w:rsidRPr="00D85509">
        <w:t xml:space="preserve"> allocated $1.488 billion in funding to be distributed over 10 years to expand rural broadband service to over 700,000 rural homes and small businesses in unserved areas in 45 states</w:t>
      </w:r>
      <w:r w:rsidR="00D518F5">
        <w:t xml:space="preserve"> through a variety of technologies, including terrestrial- and satellite-based solutions</w:t>
      </w:r>
      <w:r w:rsidRPr="00D85509">
        <w:t xml:space="preserve">.  </w:t>
      </w:r>
      <w:bookmarkStart w:id="21" w:name="_Hlk6934112"/>
      <w:r w:rsidR="00E83214">
        <w:t>In</w:t>
      </w:r>
      <w:r w:rsidR="005567B7">
        <w:t xml:space="preserve"> total</w:t>
      </w:r>
      <w:r w:rsidR="00E83214">
        <w:t xml:space="preserve">, winning bidders in the CAF Phase II auction committed to deploying broadband service to </w:t>
      </w:r>
      <w:r w:rsidR="005567B7">
        <w:t>17,895 Tribal census blocks</w:t>
      </w:r>
      <w:r w:rsidR="00E83214">
        <w:t>.</w:t>
      </w:r>
      <w:r w:rsidR="005567B7">
        <w:t xml:space="preserve"> </w:t>
      </w:r>
      <w:r w:rsidR="00E83214">
        <w:t xml:space="preserve"> </w:t>
      </w:r>
      <w:bookmarkEnd w:id="21"/>
      <w:r w:rsidRPr="00D85509" w:rsidR="00100103">
        <w:t xml:space="preserve">The Commission expects that the CAF Phase II funding commitments </w:t>
      </w:r>
      <w:r w:rsidRPr="00D85509" w:rsidR="00C80FD4">
        <w:t xml:space="preserve">will result in further deployment of broadband to Tribal lands.  </w:t>
      </w:r>
      <w:r w:rsidRPr="00D85509" w:rsidR="008C4E64">
        <w:t>A</w:t>
      </w:r>
      <w:r w:rsidRPr="00D85509" w:rsidR="009A3C80">
        <w:t xml:space="preserve">reas that did not receive funding </w:t>
      </w:r>
      <w:r w:rsidRPr="00D85509" w:rsidR="00C80FD4">
        <w:t xml:space="preserve">for buildout through </w:t>
      </w:r>
      <w:r w:rsidRPr="00D85509" w:rsidR="009A3C80">
        <w:t>CAF Phase II will be included in the Remote Areas Fund, which will provide support for rural, insular, or other areas that remain eligible for high-cost support.  As part of that proceeding, the Commission has committed to consider preferences for Tribal entities or providers serving Tribal lands.</w:t>
      </w:r>
      <w:r w:rsidRPr="00D85509" w:rsidR="009A3C80">
        <w:rPr>
          <w:rStyle w:val="FootnoteReference"/>
          <w:rFonts w:eastAsia="Symbol"/>
          <w:sz w:val="24"/>
          <w:szCs w:val="24"/>
        </w:rPr>
        <w:t xml:space="preserve"> </w:t>
      </w:r>
      <w:r>
        <w:rPr>
          <w:rStyle w:val="FootnoteReference"/>
          <w:rFonts w:eastAsia="Symbol"/>
          <w:sz w:val="24"/>
          <w:szCs w:val="24"/>
        </w:rPr>
        <w:footnoteReference w:id="29"/>
      </w:r>
      <w:r w:rsidRPr="00D85509" w:rsidR="009A3C80">
        <w:t xml:space="preserve"> </w:t>
      </w:r>
    </w:p>
    <w:p w:rsidR="000B2B08" w:rsidRPr="00D85509" w:rsidP="007F64CB" w14:paraId="3782F0CE" w14:textId="33001DEB">
      <w:pPr>
        <w:spacing w:after="120"/>
        <w:ind w:firstLine="720"/>
      </w:pPr>
      <w:r w:rsidRPr="00D85509">
        <w:rPr>
          <w:shd w:val="clear" w:color="auto" w:fill="FFFFFF"/>
        </w:rPr>
        <w:t>Smaller, rural carriers</w:t>
      </w:r>
      <w:r w:rsidR="00A63C22">
        <w:rPr>
          <w:shd w:val="clear" w:color="auto" w:fill="FFFFFF"/>
        </w:rPr>
        <w:t>, known as</w:t>
      </w:r>
      <w:r w:rsidRPr="00D85509" w:rsidR="008C4E64">
        <w:rPr>
          <w:shd w:val="clear" w:color="auto" w:fill="FFFFFF"/>
        </w:rPr>
        <w:t xml:space="preserve"> </w:t>
      </w:r>
      <w:r w:rsidRPr="00D85509">
        <w:rPr>
          <w:shd w:val="clear" w:color="auto" w:fill="FFFFFF"/>
        </w:rPr>
        <w:t>rate-of-return</w:t>
      </w:r>
      <w:r w:rsidR="00A63C22">
        <w:rPr>
          <w:shd w:val="clear" w:color="auto" w:fill="FFFFFF"/>
        </w:rPr>
        <w:t xml:space="preserve"> carriers, </w:t>
      </w:r>
      <w:r w:rsidRPr="00D85509">
        <w:rPr>
          <w:shd w:val="clear" w:color="auto" w:fill="FFFFFF"/>
        </w:rPr>
        <w:t>historically received universal service support based on</w:t>
      </w:r>
      <w:r w:rsidR="00A63C22">
        <w:rPr>
          <w:shd w:val="clear" w:color="auto" w:fill="FFFFFF"/>
        </w:rPr>
        <w:t xml:space="preserve"> recovering their costs plus a return on their investments, calculated by comparing</w:t>
      </w:r>
      <w:r w:rsidRPr="00D85509">
        <w:rPr>
          <w:shd w:val="clear" w:color="auto" w:fill="FFFFFF"/>
        </w:rPr>
        <w:t xml:space="preserve"> their actual costs to nationwide averages.  </w:t>
      </w:r>
      <w:r w:rsidRPr="00D85509">
        <w:rPr>
          <w:shd w:val="clear" w:color="auto" w:fill="FFFFFF"/>
        </w:rPr>
        <w:t>M</w:t>
      </w:r>
      <w:r w:rsidRPr="00D85509">
        <w:rPr>
          <w:shd w:val="clear" w:color="auto" w:fill="FFFFFF"/>
        </w:rPr>
        <w:t xml:space="preserve">any of these carriers continue to receive </w:t>
      </w:r>
      <w:r w:rsidRPr="00D85509" w:rsidR="007E45F3">
        <w:rPr>
          <w:shd w:val="clear" w:color="auto" w:fill="FFFFFF"/>
        </w:rPr>
        <w:t xml:space="preserve">legacy </w:t>
      </w:r>
      <w:r w:rsidRPr="00D85509">
        <w:rPr>
          <w:shd w:val="clear" w:color="auto" w:fill="FFFFFF"/>
        </w:rPr>
        <w:t xml:space="preserve">support </w:t>
      </w:r>
      <w:r w:rsidRPr="00D85509" w:rsidR="007E45F3">
        <w:rPr>
          <w:shd w:val="clear" w:color="auto" w:fill="FFFFFF"/>
        </w:rPr>
        <w:t>in this manner</w:t>
      </w:r>
      <w:r w:rsidRPr="00D85509">
        <w:rPr>
          <w:shd w:val="clear" w:color="auto" w:fill="FFFFFF"/>
        </w:rPr>
        <w:t xml:space="preserve">, </w:t>
      </w:r>
      <w:r w:rsidRPr="00D85509">
        <w:rPr>
          <w:shd w:val="clear" w:color="auto" w:fill="FFFFFF"/>
        </w:rPr>
        <w:t xml:space="preserve">and the Commission has initiated reforms </w:t>
      </w:r>
      <w:r w:rsidRPr="00D85509">
        <w:t>to increase</w:t>
      </w:r>
      <w:r w:rsidR="00A63C22">
        <w:t xml:space="preserve"> these carriers’ deployments on</w:t>
      </w:r>
      <w:r w:rsidRPr="00D85509">
        <w:t xml:space="preserve"> Tribal </w:t>
      </w:r>
      <w:r w:rsidR="00A63C22">
        <w:t>lands</w:t>
      </w:r>
      <w:r w:rsidRPr="00D85509">
        <w:t>.  For example, to address the higher costs that legacy carriers typically face in serving Tribal lands, the Commission</w:t>
      </w:r>
      <w:r w:rsidR="00C37068">
        <w:t xml:space="preserve"> substantially</w:t>
      </w:r>
      <w:r w:rsidRPr="00D85509">
        <w:t xml:space="preserve"> increased the amount of operating costs that can be recovered by carriers that predominantly serve Tribal lands.</w:t>
      </w:r>
      <w:r>
        <w:rPr>
          <w:rStyle w:val="FootnoteReference"/>
          <w:rFonts w:eastAsia="Symbol"/>
          <w:sz w:val="24"/>
          <w:szCs w:val="24"/>
        </w:rPr>
        <w:footnoteReference w:id="30"/>
      </w:r>
      <w:r w:rsidRPr="00D85509">
        <w:t xml:space="preserve">  </w:t>
      </w:r>
    </w:p>
    <w:p w:rsidR="00DB1E11" w:rsidRPr="00D85509" w:rsidP="00B13DA9" w14:paraId="50820D94" w14:textId="607DCCE5">
      <w:pPr>
        <w:spacing w:after="120"/>
        <w:ind w:firstLine="720"/>
      </w:pPr>
      <w:r w:rsidRPr="00D85509">
        <w:rPr>
          <w:shd w:val="clear" w:color="auto" w:fill="FFFFFF"/>
        </w:rPr>
        <w:t>T</w:t>
      </w:r>
      <w:r w:rsidRPr="00D85509" w:rsidR="004F0458">
        <w:rPr>
          <w:shd w:val="clear" w:color="auto" w:fill="FFFFFF"/>
        </w:rPr>
        <w:t xml:space="preserve">he Commission also </w:t>
      </w:r>
      <w:r w:rsidRPr="00D85509" w:rsidR="007E45F3">
        <w:rPr>
          <w:shd w:val="clear" w:color="auto" w:fill="FFFFFF"/>
        </w:rPr>
        <w:t xml:space="preserve">has </w:t>
      </w:r>
      <w:r w:rsidRPr="00D85509" w:rsidR="004F0458">
        <w:rPr>
          <w:shd w:val="clear" w:color="auto" w:fill="FFFFFF"/>
        </w:rPr>
        <w:t>made available a cost model</w:t>
      </w:r>
      <w:r w:rsidRPr="00D85509" w:rsidR="00D97236">
        <w:rPr>
          <w:shd w:val="clear" w:color="auto" w:fill="FFFFFF"/>
        </w:rPr>
        <w:t>—the</w:t>
      </w:r>
      <w:r w:rsidRPr="00D85509" w:rsidR="00D97236">
        <w:t xml:space="preserve"> Alternative Connect America Cost Model (A-CAM)—</w:t>
      </w:r>
      <w:r w:rsidRPr="00D85509" w:rsidR="004F0458">
        <w:rPr>
          <w:shd w:val="clear" w:color="auto" w:fill="FFFFFF"/>
        </w:rPr>
        <w:t>for rate-of-return carriers</w:t>
      </w:r>
      <w:r w:rsidRPr="00D85509" w:rsidR="00D97236">
        <w:rPr>
          <w:shd w:val="clear" w:color="auto" w:fill="FFFFFF"/>
        </w:rPr>
        <w:t xml:space="preserve"> that choose not to receive legacy support.  The model-based option allows these carriers t</w:t>
      </w:r>
      <w:r w:rsidRPr="00D85509" w:rsidR="004F0458">
        <w:rPr>
          <w:shd w:val="clear" w:color="auto" w:fill="FFFFFF"/>
        </w:rPr>
        <w:t>o receive predictable support for a 10</w:t>
      </w:r>
      <w:r w:rsidRPr="00D85509" w:rsidR="007E45F3">
        <w:rPr>
          <w:shd w:val="clear" w:color="auto" w:fill="FFFFFF"/>
        </w:rPr>
        <w:t>-</w:t>
      </w:r>
      <w:r w:rsidRPr="00D85509" w:rsidR="004F0458">
        <w:rPr>
          <w:shd w:val="clear" w:color="auto" w:fill="FFFFFF"/>
        </w:rPr>
        <w:t>year term</w:t>
      </w:r>
      <w:r w:rsidRPr="00D85509" w:rsidR="007E45F3">
        <w:rPr>
          <w:shd w:val="clear" w:color="auto" w:fill="FFFFFF"/>
        </w:rPr>
        <w:t xml:space="preserve"> in exchange for </w:t>
      </w:r>
      <w:r w:rsidRPr="00D85509" w:rsidR="00D97236">
        <w:rPr>
          <w:shd w:val="clear" w:color="auto" w:fill="FFFFFF"/>
        </w:rPr>
        <w:t xml:space="preserve">meeting </w:t>
      </w:r>
      <w:r w:rsidRPr="00D85509" w:rsidR="007E45F3">
        <w:rPr>
          <w:shd w:val="clear" w:color="auto" w:fill="FFFFFF"/>
        </w:rPr>
        <w:t xml:space="preserve">certain </w:t>
      </w:r>
      <w:r w:rsidR="00C37068">
        <w:rPr>
          <w:shd w:val="clear" w:color="auto" w:fill="FFFFFF"/>
        </w:rPr>
        <w:t>broadband deployment</w:t>
      </w:r>
      <w:r w:rsidRPr="00D85509" w:rsidR="00C37068">
        <w:rPr>
          <w:shd w:val="clear" w:color="auto" w:fill="FFFFFF"/>
        </w:rPr>
        <w:t xml:space="preserve"> </w:t>
      </w:r>
      <w:r w:rsidRPr="00D85509" w:rsidR="007E45F3">
        <w:rPr>
          <w:shd w:val="clear" w:color="auto" w:fill="FFFFFF"/>
        </w:rPr>
        <w:t>obligations</w:t>
      </w:r>
      <w:r w:rsidRPr="00D85509" w:rsidR="004F0458">
        <w:rPr>
          <w:shd w:val="clear" w:color="auto" w:fill="FFFFFF"/>
        </w:rPr>
        <w:t xml:space="preserve">.  </w:t>
      </w:r>
      <w:r w:rsidRPr="00D85509" w:rsidR="007E45F3">
        <w:rPr>
          <w:shd w:val="clear" w:color="auto" w:fill="FFFFFF"/>
        </w:rPr>
        <w:t>I</w:t>
      </w:r>
      <w:r w:rsidRPr="00D85509" w:rsidR="00E20168">
        <w:t xml:space="preserve">n December 2018, the Commission </w:t>
      </w:r>
      <w:r w:rsidRPr="00D85509" w:rsidR="007E45F3">
        <w:rPr>
          <w:shd w:val="clear" w:color="auto" w:fill="FFFFFF"/>
        </w:rPr>
        <w:t xml:space="preserve">modernized </w:t>
      </w:r>
      <w:r w:rsidRPr="00D85509" w:rsidR="007E45F3">
        <w:t xml:space="preserve">its rules for distributing support to rate-of-return carriers </w:t>
      </w:r>
      <w:r w:rsidRPr="00D85509" w:rsidR="00DF11CE">
        <w:t xml:space="preserve">by </w:t>
      </w:r>
      <w:r w:rsidRPr="00D85509" w:rsidR="00D97236">
        <w:t>allocating additional</w:t>
      </w:r>
      <w:r w:rsidRPr="00D85509" w:rsidR="00A475E7">
        <w:t xml:space="preserve"> funding to bring 25/</w:t>
      </w:r>
      <w:r w:rsidRPr="00D85509" w:rsidR="00436927">
        <w:t>3</w:t>
      </w:r>
      <w:r w:rsidRPr="00D85509">
        <w:t xml:space="preserve"> </w:t>
      </w:r>
      <w:r w:rsidRPr="00D85509" w:rsidR="00A475E7">
        <w:t xml:space="preserve">Mbps </w:t>
      </w:r>
      <w:r w:rsidRPr="00D85509" w:rsidR="00D97236">
        <w:t>service</w:t>
      </w:r>
      <w:r w:rsidRPr="00D85509" w:rsidR="00A475E7">
        <w:t xml:space="preserve"> </w:t>
      </w:r>
      <w:r w:rsidRPr="00D85509" w:rsidR="00DF11CE">
        <w:t>to rural America.</w:t>
      </w:r>
      <w:r>
        <w:rPr>
          <w:rStyle w:val="FootnoteReference"/>
        </w:rPr>
        <w:footnoteReference w:id="31"/>
      </w:r>
      <w:r w:rsidRPr="00D85509" w:rsidR="00B13DA9">
        <w:t xml:space="preserve">  The Commission also modified the A-CAM to encourage increased deployment in Tribal areas.  While traditionally the A-CAM incorporates nationwide assumptions about take rates and potential average revenues per subscriber to estimate a per-location funding threshold, the Commission recognized that those same assumptions </w:t>
      </w:r>
      <w:r w:rsidRPr="00D85509" w:rsidR="00A475E7">
        <w:t>did not accurately account for the unique challenges of deploying broadband to rural Tribal communities.</w:t>
      </w:r>
      <w:r>
        <w:rPr>
          <w:rStyle w:val="FootnoteReference"/>
          <w:sz w:val="24"/>
          <w:szCs w:val="24"/>
        </w:rPr>
        <w:footnoteReference w:id="32"/>
      </w:r>
      <w:r w:rsidRPr="00D85509" w:rsidR="00A475E7">
        <w:t xml:space="preserve">  T</w:t>
      </w:r>
      <w:r w:rsidRPr="00D85509" w:rsidR="00B13DA9">
        <w:t xml:space="preserve">hus, the Commission </w:t>
      </w:r>
      <w:r w:rsidRPr="00D85509" w:rsidR="00744AF3">
        <w:t>incorporate</w:t>
      </w:r>
      <w:r w:rsidRPr="00D85509" w:rsidR="00A475E7">
        <w:t>d</w:t>
      </w:r>
      <w:r w:rsidRPr="00D85509" w:rsidR="00744AF3">
        <w:t xml:space="preserve"> a Tribal Broadband Factor into the A-CAM</w:t>
      </w:r>
      <w:r w:rsidRPr="00D85509" w:rsidR="00E42B67">
        <w:t>,</w:t>
      </w:r>
      <w:r w:rsidRPr="00D85509" w:rsidR="004A4CA2">
        <w:t xml:space="preserve"> </w:t>
      </w:r>
      <w:r w:rsidR="00C37068">
        <w:t xml:space="preserve">which </w:t>
      </w:r>
      <w:r w:rsidRPr="00D85509" w:rsidR="00E42B67">
        <w:t>establish</w:t>
      </w:r>
      <w:r w:rsidR="00C37068">
        <w:t>es</w:t>
      </w:r>
      <w:r w:rsidRPr="00D85509" w:rsidR="00E42B67">
        <w:t xml:space="preserve"> funding benchmark of $39.38 on Tribal lands</w:t>
      </w:r>
      <w:r w:rsidR="00C37068">
        <w:t xml:space="preserve">, the amount above </w:t>
      </w:r>
      <w:r w:rsidR="00C37068">
        <w:t>which serving a location is considered high cost; this is</w:t>
      </w:r>
      <w:r w:rsidRPr="00D85509" w:rsidR="00E42B67">
        <w:t xml:space="preserve"> a 25% decrease compared to the $52.50 funding benchmark for non-Tribal locations</w:t>
      </w:r>
      <w:r w:rsidRPr="00D85509" w:rsidR="00744AF3">
        <w:t>.</w:t>
      </w:r>
      <w:r w:rsidR="00C37068">
        <w:t xml:space="preserve">  The practical effect of the Tribal Broadband Factor is that more locations are considered high cost and more support is available for each high-cost location.</w:t>
      </w:r>
      <w:r w:rsidRPr="00D85509" w:rsidR="00744AF3">
        <w:t xml:space="preserve">  </w:t>
      </w:r>
      <w:r w:rsidRPr="00D85509" w:rsidR="00A475E7">
        <w:t>T</w:t>
      </w:r>
      <w:r w:rsidRPr="00D85509" w:rsidR="00744AF3">
        <w:t xml:space="preserve">he Commission </w:t>
      </w:r>
      <w:r w:rsidRPr="00D85509">
        <w:t>noted that the changes would “efficiently target support to carriers that serve significant Tribal lands, as well as those carriers that serve only a minimal amount of Tribal lands or a small number of housing units on Tribal lands in their study area.”</w:t>
      </w:r>
      <w:r>
        <w:rPr>
          <w:rStyle w:val="FootnoteReference"/>
          <w:sz w:val="24"/>
          <w:szCs w:val="24"/>
        </w:rPr>
        <w:footnoteReference w:id="33"/>
      </w:r>
      <w:r w:rsidRPr="00D85509" w:rsidR="00446963">
        <w:t xml:space="preserve">  Additionally</w:t>
      </w:r>
      <w:r w:rsidRPr="00D85509">
        <w:t>, the Commission sought comment on ways to incorporate a Tribal Broadband Factor into the legacy rate-of-return system.</w:t>
      </w:r>
      <w:r>
        <w:rPr>
          <w:rStyle w:val="FootnoteReference"/>
          <w:sz w:val="24"/>
          <w:szCs w:val="24"/>
        </w:rPr>
        <w:footnoteReference w:id="34"/>
      </w:r>
      <w:r w:rsidRPr="00D85509">
        <w:t xml:space="preserve">  </w:t>
      </w:r>
    </w:p>
    <w:p w:rsidR="008E407B" w:rsidRPr="00D85509" w:rsidP="00765E53" w14:paraId="66231FD6" w14:textId="3040BC2C">
      <w:pPr>
        <w:spacing w:after="120"/>
        <w:ind w:firstLine="720"/>
      </w:pPr>
      <w:bookmarkStart w:id="22" w:name="_Hlk6958047"/>
      <w:r w:rsidRPr="00D85509">
        <w:rPr>
          <w:i/>
        </w:rPr>
        <w:t>Mobile Services</w:t>
      </w:r>
      <w:r w:rsidRPr="00D85509">
        <w:t xml:space="preserve">.  To ensure the timely availability of mobile voice and broadband services on Tribal lands, the Commission adopted a dedicated funding mechanism as part of its Mobility Fund.  For Mobility Fund Phase I, the Commission set aside $50 million in one-time support for unserved Tribal land areas to be awarded through a separate, Tribal Mobility Fund Phase I auction (Auction 902).  </w:t>
      </w:r>
      <w:r w:rsidRPr="00D85509" w:rsidR="00446963">
        <w:t xml:space="preserve">A total of five winning bidders submitted $49.8 million in winning bids covering a population of 56,932 in 80 biddable areas.  </w:t>
      </w:r>
      <w:r w:rsidRPr="00D85509">
        <w:t>These areas include 18 biddable areas on five Reservations or Tribal lands in Arizona, Montana, New Mexico, and Utah; and 62 biddable areas in 49 Alaska Native Village Statistical Areas and 13 bidding areas otherwise in Alaska Native Regions.</w:t>
      </w:r>
      <w:r>
        <w:rPr>
          <w:rStyle w:val="FootnoteReference"/>
        </w:rPr>
        <w:footnoteReference w:id="35"/>
      </w:r>
      <w:r w:rsidRPr="00D85509">
        <w:t xml:space="preserve">  Since July 2014, the Wireless Telecommunications Bureau and the Wireline Competition Bureau have authorized support to </w:t>
      </w:r>
      <w:r w:rsidRPr="00D85509" w:rsidR="00446963">
        <w:t xml:space="preserve">all five winning bidders, </w:t>
      </w:r>
      <w:r w:rsidRPr="00D85509">
        <w:t>and initial disbursements totaling $16.6 million</w:t>
      </w:r>
      <w:r w:rsidRPr="00D85509" w:rsidR="008C4E64">
        <w:t xml:space="preserve"> </w:t>
      </w:r>
      <w:r w:rsidR="00377BF0">
        <w:t>were</w:t>
      </w:r>
      <w:r w:rsidRPr="00D85509" w:rsidR="008C4E64">
        <w:t xml:space="preserve"> made</w:t>
      </w:r>
      <w:r w:rsidRPr="00D85509">
        <w:t xml:space="preserve">.  Final payments totaling over </w:t>
      </w:r>
      <w:r w:rsidRPr="00D85509">
        <w:rPr>
          <w:bCs/>
        </w:rPr>
        <w:t>$2</w:t>
      </w:r>
      <w:r w:rsidRPr="00D85509" w:rsidR="0034595D">
        <w:rPr>
          <w:bCs/>
        </w:rPr>
        <w:t>4.5</w:t>
      </w:r>
      <w:r w:rsidRPr="00D85509">
        <w:t xml:space="preserve"> million in support have </w:t>
      </w:r>
      <w:r w:rsidR="00377BF0">
        <w:t xml:space="preserve">also </w:t>
      </w:r>
      <w:r w:rsidRPr="00D85509">
        <w:t xml:space="preserve">been disbursed, </w:t>
      </w:r>
      <w:bookmarkStart w:id="23" w:name="_Hlk7172370"/>
      <w:r w:rsidRPr="00D85509">
        <w:t xml:space="preserve">completing the disbursement process for </w:t>
      </w:r>
      <w:r w:rsidRPr="00D85509" w:rsidR="0034595D">
        <w:t>86</w:t>
      </w:r>
      <w:r w:rsidRPr="00D85509">
        <w:t xml:space="preserve">% of the </w:t>
      </w:r>
      <w:r w:rsidR="00C64037">
        <w:t>biddable areas</w:t>
      </w:r>
      <w:bookmarkEnd w:id="23"/>
      <w:r w:rsidRPr="00D85509">
        <w:t>.</w:t>
      </w:r>
      <w:r>
        <w:rPr>
          <w:rStyle w:val="FootnoteReference"/>
        </w:rPr>
        <w:footnoteReference w:id="36"/>
      </w:r>
      <w:r w:rsidRPr="00D85509">
        <w:t> </w:t>
      </w:r>
      <w:r w:rsidRPr="00D85509" w:rsidR="00765E53">
        <w:t xml:space="preserve"> </w:t>
      </w:r>
    </w:p>
    <w:bookmarkEnd w:id="22"/>
    <w:p w:rsidR="0034595D" w:rsidRPr="00D85509" w:rsidP="00D26ABA" w14:paraId="2EE00E99" w14:textId="745ADE44">
      <w:pPr>
        <w:widowControl/>
        <w:spacing w:after="120"/>
        <w:ind w:firstLine="720"/>
      </w:pPr>
      <w:r w:rsidRPr="00D85509">
        <w:t xml:space="preserve">Mobility Fund Phase II (MF-II) will make up to $4.53 billion in support available over 10 years to primarily rural areas that lack unsubsidized 4G LTE service, with at least $340 million </w:t>
      </w:r>
      <w:r w:rsidRPr="00D85509" w:rsidR="007E4E93">
        <w:t xml:space="preserve">expected to be </w:t>
      </w:r>
      <w:r w:rsidRPr="00D85509">
        <w:t>set-aside for funding service to Tribal lands to be disbursed in the Tribal Mobility Phase II auction.</w:t>
      </w:r>
      <w:r>
        <w:rPr>
          <w:rStyle w:val="FootnoteReference"/>
          <w:rFonts w:eastAsia="Symbol"/>
        </w:rPr>
        <w:footnoteReference w:id="37"/>
      </w:r>
      <w:r w:rsidRPr="00D85509" w:rsidR="00446963">
        <w:t xml:space="preserve">  MF-II </w:t>
      </w:r>
      <w:r w:rsidRPr="00D85509" w:rsidR="008C4E64">
        <w:t>is intended to</w:t>
      </w:r>
      <w:r w:rsidRPr="00D85509" w:rsidR="00446963">
        <w:t xml:space="preserve"> incentivize the deployment of mobile wireless service through a reverse auction, and </w:t>
      </w:r>
      <w:r w:rsidRPr="00D85509" w:rsidR="008C4E64">
        <w:t xml:space="preserve">it </w:t>
      </w:r>
      <w:r w:rsidRPr="00D85509" w:rsidR="00446963">
        <w:t>is critically important to supporting mobile voice and broadband coverage by ensuring that 4G LTE service is preserved and advanced in those areas of the country that lack unsubsidized</w:t>
      </w:r>
      <w:r w:rsidRPr="00D85509" w:rsidR="00D51E82">
        <w:t xml:space="preserve"> 4G LTE</w:t>
      </w:r>
      <w:r w:rsidRPr="00D85509" w:rsidR="00446963">
        <w:t xml:space="preserve"> service.  The Commission used carrier-provided data and subsidy data from USAC to create a map of areas presumptively eligible for MF-II support (initial eligible areas map),</w:t>
      </w:r>
      <w:r w:rsidRPr="00D85509" w:rsidR="00446963">
        <w:rPr>
          <w:rStyle w:val="FootnoteReference"/>
          <w:rFonts w:eastAsia="Symbol"/>
        </w:rPr>
        <w:t xml:space="preserve"> </w:t>
      </w:r>
      <w:r>
        <w:rPr>
          <w:rStyle w:val="FootnoteReference"/>
          <w:rFonts w:eastAsia="Symbol"/>
        </w:rPr>
        <w:footnoteReference w:id="38"/>
      </w:r>
      <w:r w:rsidRPr="00D85509" w:rsidR="00446963">
        <w:t xml:space="preserve"> and</w:t>
      </w:r>
      <w:r w:rsidRPr="00D85509" w:rsidR="008C4E64">
        <w:t xml:space="preserve"> it then</w:t>
      </w:r>
      <w:r w:rsidRPr="00D85509" w:rsidR="00446963">
        <w:t xml:space="preserve"> allowed interested </w:t>
      </w:r>
      <w:r w:rsidRPr="00D85509" w:rsidR="00446963">
        <w:t xml:space="preserve">parties to challenge the initial determination that a </w:t>
      </w:r>
      <w:r w:rsidRPr="00D85509" w:rsidR="00446963">
        <w:t>particular area</w:t>
      </w:r>
      <w:r w:rsidRPr="00D85509" w:rsidR="00446963">
        <w:t xml:space="preserve"> is ineligible for MF-II support.</w:t>
      </w:r>
      <w:r>
        <w:rPr>
          <w:rStyle w:val="FootnoteReference"/>
          <w:rFonts w:eastAsia="Symbol"/>
        </w:rPr>
        <w:footnoteReference w:id="39"/>
      </w:r>
      <w:r w:rsidRPr="00D85509" w:rsidR="00446963">
        <w:t xml:space="preserve">  Sixteen Tribal governments</w:t>
      </w:r>
      <w:r w:rsidR="00C37068">
        <w:t xml:space="preserve"> have</w:t>
      </w:r>
      <w:r w:rsidRPr="00D85509" w:rsidR="00446963">
        <w:t xml:space="preserve"> requested access to USAC’s MF-II Challenge Process portal</w:t>
      </w:r>
      <w:r w:rsidRPr="00D85509">
        <w:t>.</w:t>
      </w:r>
      <w:r>
        <w:rPr>
          <w:rStyle w:val="FootnoteReference"/>
          <w:rFonts w:eastAsia="Symbol"/>
        </w:rPr>
        <w:footnoteReference w:id="40"/>
      </w:r>
      <w:r w:rsidRPr="00D85509">
        <w:t xml:space="preserve">  </w:t>
      </w:r>
    </w:p>
    <w:p w:rsidR="008E407B" w:rsidRPr="00D85509" w:rsidP="007F64CB" w14:paraId="675C69D3" w14:textId="34152872">
      <w:pPr>
        <w:spacing w:after="120"/>
        <w:ind w:firstLine="720"/>
      </w:pPr>
      <w:r w:rsidRPr="00D85509">
        <w:t>The Commission plans to conduct the Tribal Mobility Fund Phase II auction as a component of the broader Mobility Fund Phase II auction.</w:t>
      </w:r>
      <w:r>
        <w:rPr>
          <w:vertAlign w:val="superscript"/>
        </w:rPr>
        <w:footnoteReference w:id="41"/>
      </w:r>
      <w:r w:rsidRPr="00D85509">
        <w:t xml:space="preserve">  The Commission determined that reserving this support within MF-II is a fair and reasonable approach to ensuring that Tribal lands are not left behind in the auction.</w:t>
      </w:r>
      <w:r>
        <w:rPr>
          <w:vertAlign w:val="superscript"/>
        </w:rPr>
        <w:footnoteReference w:id="42"/>
      </w:r>
      <w:r w:rsidRPr="00D85509">
        <w:t xml:space="preserve">  To encourage Tribal participation, the Rural Auctions Broadband Taskforce (RBATF) is conducting outreach to Tribal governments and carriers through in-person events, webinars, and educational materials</w:t>
      </w:r>
      <w:r w:rsidRPr="00D85509" w:rsidR="0034595D">
        <w:t>.</w:t>
      </w:r>
      <w:r>
        <w:rPr>
          <w:rStyle w:val="FootnoteReference"/>
          <w:rFonts w:eastAsia="Symbol"/>
          <w:sz w:val="24"/>
          <w:szCs w:val="24"/>
        </w:rPr>
        <w:footnoteReference w:id="43"/>
      </w:r>
      <w:r w:rsidRPr="00D85509" w:rsidR="0034595D">
        <w:t xml:space="preserve">  </w:t>
      </w:r>
    </w:p>
    <w:p w:rsidR="0034595D" w:rsidRPr="00D85509" w:rsidP="007F64CB" w14:paraId="117ECBB0" w14:textId="18816AD3">
      <w:pPr>
        <w:spacing w:after="120"/>
        <w:ind w:firstLine="720"/>
      </w:pPr>
      <w:r w:rsidRPr="00D85509">
        <w:rPr>
          <w:i/>
          <w:szCs w:val="24"/>
        </w:rPr>
        <w:t>Fixed and Mobile Services in Alaska</w:t>
      </w:r>
      <w:r w:rsidRPr="00D85509">
        <w:rPr>
          <w:szCs w:val="24"/>
        </w:rPr>
        <w:t xml:space="preserve">.  </w:t>
      </w:r>
      <w:r w:rsidRPr="00D85509" w:rsidR="00446963">
        <w:t xml:space="preserve">The Commission has adopted a tailored approach to address the unique </w:t>
      </w:r>
      <w:r w:rsidR="00E251AE">
        <w:t>challenges</w:t>
      </w:r>
      <w:r w:rsidRPr="00D85509" w:rsidR="00E251AE">
        <w:t xml:space="preserve"> </w:t>
      </w:r>
      <w:r w:rsidRPr="00D85509" w:rsidR="00446963">
        <w:t>of providing fixed and mobile services in Alaska</w:t>
      </w:r>
      <w:r w:rsidR="001B1D18">
        <w:t>.  Alaska</w:t>
      </w:r>
      <w:r w:rsidRPr="00D85509" w:rsidR="00446963">
        <w:t xml:space="preserve"> </w:t>
      </w:r>
      <w:r w:rsidRPr="00D85509" w:rsidR="00026C82">
        <w:t>is home to 229 of the 573 federally recognized Tribes</w:t>
      </w:r>
      <w:r w:rsidRPr="00D85509" w:rsidR="00FF7692">
        <w:t xml:space="preserve"> and, for purposes of the Commission’s high-cost rules, consist</w:t>
      </w:r>
      <w:r w:rsidR="001B1D18">
        <w:t>s</w:t>
      </w:r>
      <w:r w:rsidRPr="00D85509" w:rsidR="00FF7692">
        <w:t xml:space="preserve"> entirely of Tribal lands</w:t>
      </w:r>
      <w:r w:rsidRPr="00D85509">
        <w:t>.</w:t>
      </w:r>
      <w:r>
        <w:rPr>
          <w:rStyle w:val="FootnoteReference"/>
          <w:rFonts w:eastAsia="Symbol"/>
        </w:rPr>
        <w:footnoteReference w:id="44"/>
      </w:r>
      <w:r w:rsidRPr="00D85509">
        <w:t xml:space="preserve">  Among other actions, the Commission</w:t>
      </w:r>
      <w:r w:rsidRPr="00D85509" w:rsidR="00FF7692">
        <w:t xml:space="preserve"> in 2016</w:t>
      </w:r>
      <w:r w:rsidRPr="00D85509">
        <w:t xml:space="preserve"> adopted the $1.5 billion Alaska </w:t>
      </w:r>
      <w:r w:rsidRPr="00D85509" w:rsidR="00107B32">
        <w:t xml:space="preserve">Plan </w:t>
      </w:r>
      <w:r w:rsidRPr="00D85509">
        <w:t xml:space="preserve">to provide Alaskan carriers with the option of receiving fixed amounts of support </w:t>
      </w:r>
      <w:r w:rsidR="001B1D18">
        <w:t>for a term of</w:t>
      </w:r>
      <w:r w:rsidRPr="00D85509" w:rsidR="001B1D18">
        <w:t xml:space="preserve"> </w:t>
      </w:r>
      <w:r w:rsidRPr="00D85509">
        <w:t>ten years to maintain, extend, and upgrade their fixed and mobile broadband networks within the state, beginning January 1, 2017.</w:t>
      </w:r>
      <w:r>
        <w:rPr>
          <w:rStyle w:val="FootnoteReference"/>
          <w:rFonts w:eastAsia="Symbol"/>
        </w:rPr>
        <w:footnoteReference w:id="45"/>
      </w:r>
      <w:r w:rsidRPr="00D85509">
        <w:t xml:space="preserve">  The majority of the $1.5 billion fund was designated as “frozen support,” meaning that carriers choosing to participate in the Alaska Plan would receive, on a yearly basis for the term of the plan, the same level of support they received under existing high-cost mechanisms in prior years.</w:t>
      </w:r>
      <w:r>
        <w:rPr>
          <w:rStyle w:val="FootnoteReference"/>
          <w:rFonts w:eastAsia="Symbol"/>
        </w:rPr>
        <w:footnoteReference w:id="46"/>
      </w:r>
      <w:r w:rsidRPr="00D85509">
        <w:t xml:space="preserve">  The Commission required these providers to submit individual performance plans, with specific population-based coverage commitments by the end of year five and year ten.</w:t>
      </w:r>
      <w:r>
        <w:rPr>
          <w:rStyle w:val="FootnoteReference"/>
          <w:rFonts w:eastAsia="Symbol"/>
        </w:rPr>
        <w:footnoteReference w:id="47"/>
      </w:r>
      <w:r w:rsidRPr="00D85509">
        <w:t xml:space="preserve">  The Bureaus approved providers’ submitted commitments in 2016 without change.</w:t>
      </w:r>
      <w:r>
        <w:rPr>
          <w:rStyle w:val="FootnoteReference"/>
          <w:rFonts w:eastAsia="Symbol"/>
        </w:rPr>
        <w:footnoteReference w:id="48"/>
      </w:r>
      <w:r w:rsidRPr="00D85509">
        <w:t xml:space="preserve">  Mobile providers are required to upgrade </w:t>
      </w:r>
      <w:r w:rsidRPr="00D85509">
        <w:t xml:space="preserve">their networks to LTE, except in particular circumstances where lower levels of technology are permitted due to such limitations as </w:t>
      </w:r>
      <w:r w:rsidRPr="00D85509" w:rsidR="00FF7692">
        <w:t>in</w:t>
      </w:r>
      <w:r w:rsidRPr="00D85509">
        <w:t xml:space="preserve">sufficient middle mile </w:t>
      </w:r>
      <w:r w:rsidRPr="00D85509" w:rsidR="00FF7692">
        <w:t>capacity</w:t>
      </w:r>
      <w:r w:rsidRPr="00D85509">
        <w:t>.</w:t>
      </w:r>
      <w:r>
        <w:rPr>
          <w:rStyle w:val="FootnoteReference"/>
          <w:rFonts w:eastAsia="Symbol"/>
        </w:rPr>
        <w:footnoteReference w:id="49"/>
      </w:r>
      <w:r w:rsidRPr="00D85509">
        <w:t xml:space="preserve">  Mobile providers must update their commitments, however, if they have not committed to provide 10/1 Mbps LTE and new middle mile facilities become commercially available.</w:t>
      </w:r>
      <w:r>
        <w:rPr>
          <w:rStyle w:val="FootnoteReference"/>
          <w:rFonts w:eastAsia="Symbol"/>
        </w:rPr>
        <w:footnoteReference w:id="50"/>
      </w:r>
      <w:r w:rsidRPr="00D85509">
        <w:t xml:space="preserve">  To complement using frozen support to upgrade existing networks, the Commission established a separate fund,</w:t>
      </w:r>
      <w:r w:rsidRPr="00D85509" w:rsidR="00FF7692">
        <w:t xml:space="preserve"> pursuant to which</w:t>
      </w:r>
      <w:r w:rsidRPr="00D85509">
        <w:t xml:space="preserve"> $22 million per year</w:t>
      </w:r>
      <w:r w:rsidRPr="00D85509" w:rsidR="00FF7692">
        <w:t xml:space="preserve"> would be allocated via reverse auction</w:t>
      </w:r>
      <w:r w:rsidRPr="00D85509">
        <w:t xml:space="preserve"> to extend mobile services to remote areas of Alaska that currently lack any mobile coverage.</w:t>
      </w:r>
      <w:r>
        <w:rPr>
          <w:rStyle w:val="FootnoteReference"/>
          <w:rFonts w:eastAsia="Symbol"/>
        </w:rPr>
        <w:footnoteReference w:id="51"/>
      </w:r>
      <w:r w:rsidRPr="00D85509">
        <w:t xml:space="preserve">  For fixed providers </w:t>
      </w:r>
      <w:r w:rsidRPr="00D85509" w:rsidR="001F5F17">
        <w:t>participating in</w:t>
      </w:r>
      <w:r w:rsidRPr="00D85509">
        <w:t xml:space="preserve"> the Alaska Plan, the Commission adopted tailored service obligations in exchange for nearly </w:t>
      </w:r>
      <w:bookmarkStart w:id="24" w:name="_Hlk3208966"/>
      <w:r w:rsidRPr="00D85509" w:rsidR="00221FCA">
        <w:t>$54</w:t>
      </w:r>
      <w:r w:rsidRPr="00D85509" w:rsidR="00193BF2">
        <w:t>0</w:t>
      </w:r>
      <w:r w:rsidRPr="00D85509" w:rsidR="00221FCA">
        <w:t xml:space="preserve"> million in support over </w:t>
      </w:r>
      <w:r w:rsidRPr="00D85509" w:rsidR="00FF7692">
        <w:t xml:space="preserve">a </w:t>
      </w:r>
      <w:r w:rsidRPr="00D85509" w:rsidR="00221FCA">
        <w:t>10-year term</w:t>
      </w:r>
      <w:bookmarkEnd w:id="24"/>
      <w:r w:rsidRPr="00D85509">
        <w:t>.</w:t>
      </w:r>
      <w:r>
        <w:rPr>
          <w:rStyle w:val="FootnoteReference"/>
          <w:rFonts w:eastAsia="Symbol"/>
        </w:rPr>
        <w:footnoteReference w:id="52"/>
      </w:r>
      <w:r w:rsidRPr="00D85509">
        <w:t xml:space="preserve"> </w:t>
      </w:r>
    </w:p>
    <w:p w:rsidR="008E407B" w:rsidP="007F64CB" w14:paraId="67AA2524" w14:textId="51D5A4D0">
      <w:pPr>
        <w:spacing w:after="120"/>
        <w:ind w:firstLine="720"/>
        <w:rPr>
          <w:szCs w:val="24"/>
        </w:rPr>
      </w:pPr>
      <w:r w:rsidRPr="00D85509">
        <w:rPr>
          <w:szCs w:val="24"/>
        </w:rPr>
        <w:t>The Commission also adopted a tailored plan for Alaska Communications Systems (ACS), a price cap carrier offering fixed voice and broadband services in Alaska.</w:t>
      </w:r>
      <w:r>
        <w:rPr>
          <w:rStyle w:val="FootnoteReference"/>
          <w:szCs w:val="24"/>
        </w:rPr>
        <w:footnoteReference w:id="53"/>
      </w:r>
      <w:r w:rsidRPr="00D85509">
        <w:rPr>
          <w:szCs w:val="24"/>
        </w:rPr>
        <w:t xml:space="preserve"> </w:t>
      </w:r>
      <w:r w:rsidRPr="00D85509">
        <w:rPr>
          <w:szCs w:val="24"/>
        </w:rPr>
        <w:t xml:space="preserve"> Under this plan, t</w:t>
      </w:r>
      <w:r w:rsidRPr="00D85509">
        <w:rPr>
          <w:szCs w:val="24"/>
        </w:rPr>
        <w:t xml:space="preserve">he Commission required that </w:t>
      </w:r>
      <w:r w:rsidRPr="00D85509">
        <w:rPr>
          <w:szCs w:val="24"/>
        </w:rPr>
        <w:t xml:space="preserve">ACS deploy </w:t>
      </w:r>
      <w:r w:rsidRPr="00D85509">
        <w:rPr>
          <w:szCs w:val="24"/>
        </w:rPr>
        <w:t xml:space="preserve">voice and broadband services that meet the same speed, latency, usage and pricing metrics as established for other </w:t>
      </w:r>
      <w:r w:rsidRPr="00D85509" w:rsidR="00FF7692">
        <w:rPr>
          <w:szCs w:val="24"/>
        </w:rPr>
        <w:t>CAF</w:t>
      </w:r>
      <w:r w:rsidRPr="00D85509">
        <w:rPr>
          <w:szCs w:val="24"/>
        </w:rPr>
        <w:t xml:space="preserve"> recipients</w:t>
      </w:r>
      <w:r w:rsidRPr="00D85509" w:rsidR="00FF7692">
        <w:rPr>
          <w:szCs w:val="24"/>
        </w:rPr>
        <w:t xml:space="preserve"> to at least 31,571 locations</w:t>
      </w:r>
      <w:r w:rsidRPr="00D85509">
        <w:rPr>
          <w:szCs w:val="24"/>
        </w:rPr>
        <w:t>.</w:t>
      </w:r>
      <w:r>
        <w:rPr>
          <w:rStyle w:val="FootnoteReference"/>
          <w:szCs w:val="24"/>
        </w:rPr>
        <w:footnoteReference w:id="54"/>
      </w:r>
      <w:r w:rsidRPr="00D85509">
        <w:rPr>
          <w:szCs w:val="24"/>
        </w:rPr>
        <w:t xml:space="preserve">  The Commission specified that 30</w:t>
      </w:r>
      <w:r w:rsidR="00F808E8">
        <w:rPr>
          <w:szCs w:val="24"/>
        </w:rPr>
        <w:t>%</w:t>
      </w:r>
      <w:r w:rsidRPr="00D85509" w:rsidR="00F808E8">
        <w:rPr>
          <w:szCs w:val="24"/>
        </w:rPr>
        <w:t xml:space="preserve"> </w:t>
      </w:r>
      <w:r w:rsidRPr="00D85509">
        <w:rPr>
          <w:szCs w:val="24"/>
        </w:rPr>
        <w:t>of the locations must be deployed by the end of 2018, with an additional 10</w:t>
      </w:r>
      <w:r w:rsidR="00F808E8">
        <w:rPr>
          <w:szCs w:val="24"/>
        </w:rPr>
        <w:t>%</w:t>
      </w:r>
      <w:r w:rsidRPr="00D85509" w:rsidR="00F808E8">
        <w:rPr>
          <w:szCs w:val="24"/>
        </w:rPr>
        <w:t xml:space="preserve"> </w:t>
      </w:r>
      <w:r w:rsidRPr="00D85509">
        <w:rPr>
          <w:szCs w:val="24"/>
        </w:rPr>
        <w:t>per year thereafter until the end of the 10-year term in 2025.</w:t>
      </w:r>
      <w:r>
        <w:rPr>
          <w:rStyle w:val="FootnoteReference"/>
          <w:szCs w:val="24"/>
        </w:rPr>
        <w:footnoteReference w:id="55"/>
      </w:r>
    </w:p>
    <w:p w:rsidR="002919C4" w:rsidRPr="002919C4" w:rsidP="002919C4" w14:paraId="0C20B2F5" w14:textId="32187B49">
      <w:pPr>
        <w:spacing w:after="120"/>
        <w:jc w:val="center"/>
        <w:rPr>
          <w:b/>
          <w:szCs w:val="24"/>
        </w:rPr>
      </w:pPr>
      <w:r w:rsidRPr="002919C4">
        <w:rPr>
          <w:b/>
          <w:szCs w:val="24"/>
        </w:rPr>
        <w:t>Fig. 9</w:t>
      </w:r>
    </w:p>
    <w:p w:rsidR="00B02BB5" w:rsidRPr="00D85509" w:rsidP="00ED2DCC" w14:paraId="343B5D07" w14:textId="2ED410CC">
      <w:pPr>
        <w:pStyle w:val="Header"/>
        <w:ind w:hanging="450"/>
        <w:jc w:val="center"/>
      </w:pPr>
      <w:r>
        <w:rPr>
          <w:noProof/>
        </w:rPr>
        <w:drawing>
          <wp:inline distT="0" distB="0" distL="0" distR="0">
            <wp:extent cx="6296025" cy="2707363"/>
            <wp:effectExtent l="0" t="0" r="0" b="0"/>
            <wp:docPr id="1937572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18004" name=""/>
                    <pic:cNvPicPr/>
                  </pic:nvPicPr>
                  <pic:blipFill>
                    <a:blip xmlns:r="http://schemas.openxmlformats.org/officeDocument/2006/relationships" r:embed="rId20">
                      <a:extLst>
                        <a:ext uri="{96DAC541-7B7A-43D3-8B79-37D633B846F1}">
                          <asvg:svgBlip xmlns:asvg="http://schemas.microsoft.com/office/drawing/2016/SVG/main" r:embed="rId21"/>
                        </a:ext>
                      </a:extLst>
                    </a:blip>
                    <a:srcRect l="5448" r="8654"/>
                    <a:stretch>
                      <a:fillRect/>
                    </a:stretch>
                  </pic:blipFill>
                  <pic:spPr bwMode="auto">
                    <a:xfrm>
                      <a:off x="0" y="0"/>
                      <a:ext cx="6320646" cy="27179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02BB5" w:rsidRPr="00D85509" w:rsidP="00D26ABA" w14:paraId="346C63FF" w14:textId="4FFB98AB">
      <w:pPr>
        <w:spacing w:before="120" w:after="120"/>
        <w:ind w:firstLine="720"/>
      </w:pPr>
      <w:r w:rsidRPr="00D85509">
        <w:t xml:space="preserve">Tribal areas stand to benefit from many of these initiatives.  As Figure </w:t>
      </w:r>
      <w:r w:rsidR="008605EC">
        <w:t>9</w:t>
      </w:r>
      <w:r w:rsidRPr="00D85509">
        <w:t xml:space="preserve"> indicates,</w:t>
      </w:r>
      <w:r w:rsidRPr="00D85509" w:rsidR="0045154E">
        <w:t xml:space="preserve"> of the total 1.75 million housing units in Tribal census blocks,</w:t>
      </w:r>
      <w:r w:rsidRPr="00D85509">
        <w:t xml:space="preserve"> </w:t>
      </w:r>
      <w:r w:rsidR="00ED2DCC">
        <w:t xml:space="preserve">almost </w:t>
      </w:r>
      <w:r w:rsidRPr="00D85509">
        <w:t>5</w:t>
      </w:r>
      <w:r w:rsidR="00ED2DCC">
        <w:t>4</w:t>
      </w:r>
      <w:r w:rsidRPr="00D85509">
        <w:t>0,000</w:t>
      </w:r>
      <w:r w:rsidRPr="00D85509" w:rsidR="0045154E">
        <w:t xml:space="preserve"> are completely unserved by a </w:t>
      </w:r>
      <w:r w:rsidRPr="00D85509">
        <w:t>25/3 Mbps terrestrial fixed broadband service</w:t>
      </w:r>
      <w:r w:rsidRPr="00D85509" w:rsidR="0045154E">
        <w:t xml:space="preserve"> option</w:t>
      </w:r>
      <w:r w:rsidRPr="00D85509">
        <w:t>.  Of that number, approximately 3</w:t>
      </w:r>
      <w:r w:rsidR="000065C8">
        <w:t>3</w:t>
      </w:r>
      <w:r w:rsidRPr="00D85509">
        <w:t xml:space="preserve">0,000 are eligible to </w:t>
      </w:r>
      <w:r w:rsidRPr="00D85509">
        <w:t>receive funding through the various high-cost fund program mechanisms—the CAF model and auction, the A-CAM model, legacy rate-of-return support, the Alaska-focused programs, and the Remote Areas Fund</w:t>
      </w:r>
      <w:r w:rsidRPr="00D85509" w:rsidR="00A86104">
        <w:t>—with the remaining unserved housing units being ineligible for any USF support</w:t>
      </w:r>
      <w:r w:rsidRPr="00D85509">
        <w:t xml:space="preserve">.  However, because the buildout supported by these mechanisms remains in progress, the expected additional coverage on Tribal lands has not yet been captured in the data collected by the Commission.   </w:t>
      </w:r>
    </w:p>
    <w:p w:rsidR="008E407B" w:rsidRPr="00D85509" w:rsidP="00395ED0" w14:paraId="47FA21D9" w14:textId="3879A327">
      <w:pPr>
        <w:pStyle w:val="Heading3"/>
        <w:tabs>
          <w:tab w:val="num" w:pos="3150"/>
        </w:tabs>
      </w:pPr>
      <w:bookmarkStart w:id="25" w:name="_Toc2857478"/>
      <w:bookmarkStart w:id="26" w:name="_Toc6578201"/>
      <w:r w:rsidRPr="00D85509">
        <w:t>Lifeline Program</w:t>
      </w:r>
      <w:bookmarkEnd w:id="25"/>
      <w:bookmarkEnd w:id="26"/>
    </w:p>
    <w:p w:rsidR="00A87880" w:rsidRPr="00D85509" w:rsidP="00A87880" w14:paraId="6913332C" w14:textId="714EF874">
      <w:pPr>
        <w:spacing w:after="120"/>
        <w:ind w:firstLine="720"/>
      </w:pPr>
      <w:r w:rsidRPr="00D85509">
        <w:t>Lifeline subscribers residing on Tribal lands are eligible to receive a $25 per month subsidy, in addition to the standard $9.25 Lifeline subsidy, to address deployment and affordability challenges for low-income consumers residing on Tribal lands.</w:t>
      </w:r>
      <w:r>
        <w:rPr>
          <w:rStyle w:val="FootnoteReference"/>
        </w:rPr>
        <w:footnoteReference w:id="56"/>
      </w:r>
      <w:r w:rsidRPr="00D85509">
        <w:t xml:space="preserve">  The Commission is considering additional Lifeline program reforms to target funds </w:t>
      </w:r>
      <w:r w:rsidRPr="00D85509" w:rsidR="0045154E">
        <w:t xml:space="preserve">more efficiently </w:t>
      </w:r>
      <w:r w:rsidRPr="00D85509">
        <w:t xml:space="preserve">to areas most in need of help in </w:t>
      </w:r>
      <w:r w:rsidR="00690C2A">
        <w:t>securing</w:t>
      </w:r>
      <w:r w:rsidRPr="00D85509" w:rsidR="00690C2A">
        <w:t xml:space="preserve"> </w:t>
      </w:r>
      <w:r w:rsidRPr="00D85509">
        <w:t>digital opportunity.</w:t>
      </w:r>
      <w:r>
        <w:rPr>
          <w:rStyle w:val="FootnoteReference"/>
        </w:rPr>
        <w:footnoteReference w:id="57"/>
      </w:r>
      <w:r w:rsidRPr="00D85509">
        <w:t>  These areas would include rural and Tribal areas, as well as low-income urban areas that are likely to be underserved by providers.  The comment cycle on these issues has closed, and the Commission is reviewing the record as it considers further action.</w:t>
      </w:r>
    </w:p>
    <w:p w:rsidR="008E407B" w:rsidRPr="00D85509" w:rsidP="00A45021" w14:paraId="5DDA543A" w14:textId="445BC5EA">
      <w:pPr>
        <w:pStyle w:val="Heading3"/>
      </w:pPr>
      <w:bookmarkStart w:id="27" w:name="_Toc2857479"/>
      <w:bookmarkStart w:id="28" w:name="_Toc6578202"/>
      <w:bookmarkStart w:id="29" w:name="_Hlk2843954"/>
      <w:r w:rsidRPr="00D85509">
        <w:t>E</w:t>
      </w:r>
      <w:r w:rsidRPr="00D85509" w:rsidR="008D5581">
        <w:t>-Rate Program</w:t>
      </w:r>
      <w:bookmarkEnd w:id="27"/>
      <w:bookmarkEnd w:id="28"/>
    </w:p>
    <w:p w:rsidR="008E407B" w:rsidRPr="00D85509" w:rsidP="007F64CB" w14:paraId="6E3D5012" w14:textId="4A2E9623">
      <w:pPr>
        <w:spacing w:after="120"/>
        <w:ind w:firstLine="720"/>
      </w:pPr>
      <w:r w:rsidRPr="00D85509">
        <w:t xml:space="preserve">As part of the </w:t>
      </w:r>
      <w:r w:rsidR="00690C2A">
        <w:t xml:space="preserve">Commission’s efforts to </w:t>
      </w:r>
      <w:r w:rsidRPr="00D85509">
        <w:t>moderniz</w:t>
      </w:r>
      <w:r w:rsidR="00690C2A">
        <w:t>e</w:t>
      </w:r>
      <w:r w:rsidRPr="00D85509">
        <w:t xml:space="preserve"> the E-Rate program, </w:t>
      </w:r>
      <w:r w:rsidR="00690C2A">
        <w:t>it has</w:t>
      </w:r>
      <w:r w:rsidRPr="00D85509">
        <w:t xml:space="preserve"> directed that additional discounts be provided to match funding for construction of broadband connections for Tribal schools and libraries from states, Tribal governments, or other federal agencies.</w:t>
      </w:r>
      <w:r>
        <w:rPr>
          <w:rStyle w:val="FootnoteReference"/>
        </w:rPr>
        <w:footnoteReference w:id="58"/>
      </w:r>
      <w:r w:rsidRPr="00D85509">
        <w:t xml:space="preserve">  The Commission also ordered the creation of a new Tribal consultation, training, and outreach program to assist the Commission with gaining a better understanding of the current state of connectivity among Tribal schools and libraries, and to ensure that Tribal schools and libraries can fully participate in the E-Rate program.</w:t>
      </w:r>
      <w:r>
        <w:rPr>
          <w:rStyle w:val="FootnoteReference"/>
        </w:rPr>
        <w:footnoteReference w:id="59"/>
      </w:r>
      <w:r w:rsidRPr="00D85509">
        <w:t xml:space="preserve">  The Tribal consultations, trainings, and outreach continue to inform and encourage Tribal participation in the E-Rate program</w:t>
      </w:r>
      <w:r w:rsidRPr="00D85509" w:rsidR="00A51C75">
        <w:t>, as well as the other universal service programs</w:t>
      </w:r>
      <w:r w:rsidRPr="00D85509">
        <w:t xml:space="preserve">. </w:t>
      </w:r>
    </w:p>
    <w:p w:rsidR="008E407B" w:rsidRPr="00D85509" w:rsidP="00A45021" w14:paraId="44ED36AC" w14:textId="783F131E">
      <w:pPr>
        <w:pStyle w:val="Heading3"/>
      </w:pPr>
      <w:bookmarkStart w:id="30" w:name="_Toc2857480"/>
      <w:bookmarkStart w:id="31" w:name="_Toc6578203"/>
      <w:r w:rsidRPr="00D85509">
        <w:t>Rural Health Care Program</w:t>
      </w:r>
      <w:bookmarkEnd w:id="30"/>
      <w:bookmarkEnd w:id="31"/>
    </w:p>
    <w:p w:rsidR="008E407B" w:rsidRPr="00D85509" w:rsidP="007F64CB" w14:paraId="5B573B40" w14:textId="07C91D62">
      <w:pPr>
        <w:spacing w:after="120"/>
        <w:ind w:firstLine="720"/>
      </w:pPr>
      <w:bookmarkStart w:id="32" w:name="_Hlk2676490"/>
      <w:r w:rsidRPr="00D85509">
        <w:t>The Commission’s Rural Health Care (RHC) program provides funding to rural health care providers, including those on Tribal lands, for broadband connectivity to support telemedicine services.  Approximately one-third of disbursements through that program are directed to health care providers in Alaska.</w:t>
      </w:r>
      <w:r>
        <w:rPr>
          <w:rStyle w:val="FootnoteReference"/>
          <w:rFonts w:eastAsia="Symbol"/>
          <w:sz w:val="24"/>
          <w:szCs w:val="24"/>
        </w:rPr>
        <w:footnoteReference w:id="60"/>
      </w:r>
      <w:r w:rsidRPr="00D85509">
        <w:t xml:space="preserve">  Within the RHC program, the Telecommunications Program ensures that eligible health care providers pay no more than their urban counterparts for telecommunications services, and the Healthcare Connect Fund expands health care provider access to broadband, especially in rural areas, and encourages the creation of state and regional broadband health care networks.  </w:t>
      </w:r>
    </w:p>
    <w:p w:rsidR="008E407B" w:rsidRPr="00D85509" w:rsidP="007F64CB" w14:paraId="02C272E9" w14:textId="49B0CFC2">
      <w:pPr>
        <w:spacing w:after="120"/>
        <w:ind w:firstLine="720"/>
      </w:pPr>
      <w:r w:rsidRPr="00D85509">
        <w:t>In June 2018, the Commission increased the funding cap for the RHC program</w:t>
      </w:r>
      <w:r w:rsidRPr="00D85509" w:rsidR="00395ED0">
        <w:t xml:space="preserve"> for funding year 2017</w:t>
      </w:r>
      <w:r w:rsidRPr="00D85509">
        <w:t xml:space="preserve"> to $571 million </w:t>
      </w:r>
      <w:r w:rsidRPr="00D85509" w:rsidR="00395ED0">
        <w:t xml:space="preserve">with annual adjustments for inflation </w:t>
      </w:r>
      <w:r w:rsidRPr="00D85509">
        <w:t xml:space="preserve">to prevent pro-rata funding reductions that </w:t>
      </w:r>
      <w:r w:rsidRPr="00D85509">
        <w:t>could have disproportionally impacted Tribal health care providers, especially those in Alaska.</w:t>
      </w:r>
      <w:r>
        <w:rPr>
          <w:rStyle w:val="FootnoteReference"/>
          <w:rFonts w:eastAsia="Symbol"/>
          <w:sz w:val="24"/>
          <w:szCs w:val="24"/>
        </w:rPr>
        <w:footnoteReference w:id="61"/>
      </w:r>
      <w:r w:rsidRPr="00D85509">
        <w:t xml:space="preserve">  Additionally, the Commission is currently reviewing how to improve the RHC program to maximize efficiencies in promoting the availability of broadband services to rural</w:t>
      </w:r>
      <w:r w:rsidRPr="00D85509" w:rsidR="00395ED0">
        <w:t xml:space="preserve"> health care</w:t>
      </w:r>
      <w:r w:rsidRPr="00D85509">
        <w:t xml:space="preserve"> providers, while minimizing waste, fraud and abuse</w:t>
      </w:r>
      <w:r w:rsidRPr="00D85509" w:rsidR="00F7463F">
        <w:t xml:space="preserve">, and </w:t>
      </w:r>
      <w:r w:rsidRPr="00D85509">
        <w:t xml:space="preserve">will consider improvements in bringing service to Tribal lands as part of that proceeding.  </w:t>
      </w:r>
    </w:p>
    <w:p w:rsidR="00894BE1" w:rsidRPr="00D85509" w:rsidP="00894BE1" w14:paraId="10FB7517" w14:textId="77777777">
      <w:pPr>
        <w:pStyle w:val="Heading2"/>
      </w:pPr>
      <w:bookmarkStart w:id="33" w:name="_Toc6578204"/>
      <w:bookmarkEnd w:id="29"/>
      <w:bookmarkEnd w:id="32"/>
      <w:r w:rsidRPr="00D85509">
        <w:rPr>
          <w:rFonts w:eastAsia="Calibri"/>
        </w:rPr>
        <w:t>Tribal Consultations and Outreach</w:t>
      </w:r>
      <w:bookmarkEnd w:id="33"/>
      <w:r w:rsidRPr="00D85509">
        <w:rPr>
          <w:rFonts w:eastAsia="Calibri"/>
        </w:rPr>
        <w:t xml:space="preserve"> </w:t>
      </w:r>
    </w:p>
    <w:p w:rsidR="00894BE1" w:rsidRPr="00D85509" w:rsidP="00894BE1" w14:paraId="19C7B239" w14:textId="77777777">
      <w:pPr>
        <w:spacing w:after="120"/>
        <w:ind w:firstLine="720"/>
        <w:rPr>
          <w:rFonts w:eastAsia="Calibri"/>
        </w:rPr>
      </w:pPr>
      <w:r w:rsidRPr="00D85509">
        <w:rPr>
          <w:rFonts w:eastAsia="Calibri"/>
        </w:rPr>
        <w:t>The Commission’s Office of Native Affairs and Policy (ONAP) oversees the agency’s Tribal consultations and plays an important role in the ongoing efforts to increase the deployment and adoption of communications services on Tribal lands and in Native communities.</w:t>
      </w:r>
      <w:r>
        <w:rPr>
          <w:rFonts w:eastAsia="Calibri"/>
          <w:vertAlign w:val="superscript"/>
        </w:rPr>
        <w:footnoteReference w:id="62"/>
      </w:r>
      <w:r w:rsidRPr="00D85509">
        <w:rPr>
          <w:rFonts w:eastAsia="Calibri"/>
        </w:rPr>
        <w:t xml:space="preserve">  ONAP is engaged in Tribal consultations relating to </w:t>
      </w:r>
      <w:r>
        <w:rPr>
          <w:rFonts w:eastAsia="Calibri"/>
        </w:rPr>
        <w:t>numerous</w:t>
      </w:r>
      <w:r w:rsidRPr="00D85509">
        <w:rPr>
          <w:rFonts w:eastAsia="Calibri"/>
        </w:rPr>
        <w:t xml:space="preserve"> pending Commission proceedings.  For example, ONAP developed and implemented a targeted Tribal consultation plan in connection with the Commission’s Wireless Infrastructure Initiative.</w:t>
      </w:r>
      <w:r>
        <w:rPr>
          <w:rFonts w:eastAsia="Calibri"/>
          <w:vertAlign w:val="superscript"/>
        </w:rPr>
        <w:footnoteReference w:id="63"/>
      </w:r>
      <w:r w:rsidRPr="00D85509">
        <w:rPr>
          <w:rFonts w:eastAsia="Calibri"/>
        </w:rPr>
        <w:t xml:space="preserve">  Under this plan, the Commission conducted extensive consultation and engagement in Indian country.  Commissioners and FCC staff visited nine different states, including Arizona, California, Connecticut, New Mexico, North Carolina, Oregon, South Dakota, Virginia and Wisconsin, in addition to holding consultations at FCC headquarters and numerous, widely attended conference calls.</w:t>
      </w:r>
      <w:r>
        <w:rPr>
          <w:rStyle w:val="FootnoteReference"/>
          <w:rFonts w:eastAsia="Calibri"/>
          <w:szCs w:val="24"/>
        </w:rPr>
        <w:footnoteReference w:id="64"/>
      </w:r>
      <w:r w:rsidRPr="00D85509">
        <w:rPr>
          <w:rFonts w:eastAsia="Calibri"/>
        </w:rPr>
        <w:t xml:space="preserve">  These consultations focused primarily on mobile infrastructure deployment, but also more generally on strategies for achieving broadband deployment on Tribal lands, including the use of universal service support.</w:t>
      </w:r>
    </w:p>
    <w:p w:rsidR="00894BE1" w:rsidRPr="00D85509" w:rsidP="00894BE1" w14:paraId="1D0CF765" w14:textId="77777777">
      <w:pPr>
        <w:spacing w:after="120"/>
        <w:ind w:firstLine="720"/>
      </w:pPr>
      <w:r w:rsidRPr="00D85509">
        <w:t>In 2018, ONAP supported Commission staff on targeted outreach regarding the Mobility Fund Phase II Auction.  As part of the auction, at least $340 million over ten years is expected to be reserved from the overall budget to support the expansion of mobile broadband in Indian country.  To encourage Tribal participation in the Mobility Fund, ONAP and staff from the Commission’s Rural Broadband Auctions Task Force made presentations on the auction and its challenge process through in-person events, webinars, and educational materials.</w:t>
      </w:r>
      <w:r>
        <w:rPr>
          <w:rStyle w:val="FootnoteReference"/>
          <w:sz w:val="22"/>
        </w:rPr>
        <w:footnoteReference w:id="65"/>
      </w:r>
    </w:p>
    <w:p w:rsidR="00894BE1" w:rsidRPr="00D85509" w:rsidP="00894BE1" w14:paraId="157BAA7F" w14:textId="64DFE6BB">
      <w:pPr>
        <w:spacing w:after="120"/>
        <w:ind w:firstLine="720"/>
      </w:pPr>
      <w:r w:rsidRPr="00D85509">
        <w:rPr>
          <w:rFonts w:eastAsia="Calibri"/>
        </w:rPr>
        <w:t xml:space="preserve">ONAP also leads the reconstituted Native Nations </w:t>
      </w:r>
      <w:r w:rsidRPr="00D85509">
        <w:t xml:space="preserve">Communications Task Force </w:t>
      </w:r>
      <w:r w:rsidRPr="00D85509">
        <w:rPr>
          <w:rFonts w:eastAsia="Calibri"/>
        </w:rPr>
        <w:t>(Task Force), whose mission is to</w:t>
      </w:r>
      <w:r w:rsidRPr="00D85509">
        <w:t xml:space="preserve"> (</w:t>
      </w:r>
      <w:r>
        <w:t>1</w:t>
      </w:r>
      <w:r w:rsidRPr="00D85509">
        <w:t xml:space="preserve">) </w:t>
      </w:r>
      <w:r w:rsidR="00935FAD">
        <w:t xml:space="preserve">help </w:t>
      </w:r>
      <w:r w:rsidRPr="00D85509">
        <w:t>execute the Commission’s Tribal Consultation policy; (</w:t>
      </w:r>
      <w:r>
        <w:t>2</w:t>
      </w:r>
      <w:r w:rsidRPr="00D85509">
        <w:t>) identify barriers to broadband deployment that are unique to Tribal lands; and (</w:t>
      </w:r>
      <w:r>
        <w:t>3</w:t>
      </w:r>
      <w:r w:rsidRPr="00D85509">
        <w:t xml:space="preserve">) ensure Tribal concerns are considered in all Commission proceedings related to broadband and other Commission undertakings that affect Tribal </w:t>
      </w:r>
      <w:r w:rsidRPr="00D85509">
        <w:t>interests regarding communications services and facilities.</w:t>
      </w:r>
      <w:r>
        <w:rPr>
          <w:vertAlign w:val="superscript"/>
        </w:rPr>
        <w:footnoteReference w:id="66"/>
      </w:r>
      <w:r w:rsidRPr="00D85509">
        <w:t xml:space="preserve"> </w:t>
      </w:r>
      <w:r w:rsidRPr="00D85509">
        <w:rPr>
          <w:rFonts w:eastAsia="Calibri"/>
        </w:rPr>
        <w:t xml:space="preserve"> </w:t>
      </w:r>
      <w:r w:rsidRPr="00D85509">
        <w:t>The first meeting of the Task Force took place in December 2018,</w:t>
      </w:r>
      <w:r>
        <w:rPr>
          <w:rStyle w:val="FootnoteReference"/>
          <w:sz w:val="22"/>
        </w:rPr>
        <w:footnoteReference w:id="67"/>
      </w:r>
      <w:r w:rsidRPr="00D85509">
        <w:t xml:space="preserve"> when the Task Force met with FCC Chairman Pai, FCC Commissioners Carr and Rosenworcel, and other senior Commission staff.  Currently, the Task Force is working on its initial assignments, one of which is to assist the Commission in identifying and developing solutions to overcome </w:t>
      </w:r>
      <w:r>
        <w:t>barriers</w:t>
      </w:r>
      <w:r w:rsidRPr="00D85509">
        <w:t xml:space="preserve"> to increasing deployment of communications infrastructure and services on Tribal lands.  In addition to consultation and outreach </w:t>
      </w:r>
      <w:r w:rsidRPr="00D85509">
        <w:rPr>
          <w:rFonts w:eastAsia="Calibri"/>
        </w:rPr>
        <w:t>specific to pending Commission rulemaking proceedings,</w:t>
      </w:r>
      <w:r w:rsidRPr="00D85509">
        <w:t xml:space="preserve"> ONAP conducts general and ad hoc Tribal consultation</w:t>
      </w:r>
      <w:r>
        <w:t>, as well as</w:t>
      </w:r>
      <w:r w:rsidRPr="00D85509">
        <w:t xml:space="preserve"> outreach efforts aimed at representing the Commission’s programs to Tribes, listening to Tribal concerns, and establishing and maintaining good relationships with Tribes, Tribal entities, and inter-Tribal organizations.  </w:t>
      </w:r>
    </w:p>
    <w:p w:rsidR="00894BE1" w:rsidRPr="00D85509" w:rsidP="00894BE1" w14:paraId="44488495" w14:textId="77777777">
      <w:pPr>
        <w:spacing w:after="120"/>
        <w:ind w:firstLine="720"/>
      </w:pPr>
      <w:r w:rsidRPr="00D85509">
        <w:t>With support from Commission leadership and the Bureaus and Offices, ONAP holds workshops, participates in inter-Tribal organization meetings, engages in direct consultation with individual Tribes, and seeks to expand consultation</w:t>
      </w:r>
      <w:r>
        <w:t>s</w:t>
      </w:r>
      <w:r w:rsidRPr="00D85509">
        <w:t xml:space="preserve"> to locations that historically have received less engagement because of geographical or other factors.  ONAP holds FCC Tribal Workshops throughout Indian country to provide Tribal leaders, technical directors, and telecommunications and broadcast media managers with current policy and operational information.  In 2018, in conjunction with the Wireline Competition Bureau, ONAP held Workshops in Lac du Flambeau, Wisconsin and Lewiston, Idaho (Nez Perce Reservation).  A key focus of the Nez Perce Workshop was to identify and solicit views on removing obstacles to broadband deployment on Tribal lands.  </w:t>
      </w:r>
    </w:p>
    <w:p w:rsidR="00894BE1" w:rsidRPr="00D85509" w:rsidP="00894BE1" w14:paraId="2D1315AE" w14:textId="77777777">
      <w:pPr>
        <w:spacing w:after="120"/>
        <w:ind w:firstLine="720"/>
      </w:pPr>
      <w:r w:rsidRPr="00D85509">
        <w:t xml:space="preserve">In 2018, ONAP and other Commission staff participated in many ad hoc consultation and outreach efforts focused on increasing the availability of fixed and mobile broadband on Tribal lands.  For example, in February, ONAP staff, along with staff from the Consumer and Governmental Affairs Bureau and the Wireline Competition Bureau, visited the Navajo Nation to address broadband deployment issues, including the impact of the Commission’s USF support programs.  In August, ONAP presented to Tribes in the Great Lakes region at the Midwest Alliance of Sovereign Tribes Summer Meeting in Wisconsin.  Finally, in October, International Bureau staff traveled to Inuvik, Canada, to participate in the 2018 Indigenous Connectivity Summit, where participants compared approaches and sought to find solutions to ensure that indigenous communities across North America can connect to fast, affordable, and reliable Internet service.  ONAP also conducts frequent in-person meetings with Tribal leaders and other representatives in the Commission’s offices, as well as routinely holds conference calls.  </w:t>
      </w:r>
    </w:p>
    <w:p w:rsidR="00894BE1" w:rsidRPr="00D85509" w:rsidP="00894BE1" w14:paraId="50338DF9" w14:textId="77777777">
      <w:pPr>
        <w:spacing w:after="120"/>
        <w:ind w:firstLine="720"/>
        <w:rPr>
          <w:rFonts w:eastAsia="Calibri"/>
        </w:rPr>
      </w:pPr>
      <w:r w:rsidRPr="00D85509">
        <w:t>ONAP also maintains working relationships with national and regional inter-Tribal organizations, which include some of the Tribal community’s most influential members.  ONAP routinely presents on a broad range of Commission programs and initiatives</w:t>
      </w:r>
      <w:r>
        <w:t xml:space="preserve">—such as the </w:t>
      </w:r>
      <w:r w:rsidRPr="00D85509">
        <w:t>2.5 GHz rulemaking, Mobility Fund Phase II,</w:t>
      </w:r>
      <w:r>
        <w:t xml:space="preserve"> and</w:t>
      </w:r>
      <w:r w:rsidRPr="00D85509">
        <w:t xml:space="preserve"> Connected Care Pilot Program</w:t>
      </w:r>
      <w:r>
        <w:t>, to name a few—</w:t>
      </w:r>
      <w:r w:rsidRPr="00D85509">
        <w:t xml:space="preserve">and holds listening sessions at inter-Tribal conferences across the country, including the National Congress of American Indians, Affiliated Tribes of Northwest Indians, United South and Eastern Tribes, National Association of Tribal Historic Preservation Officers, and National Tribal Telecommunications Association.  It also has facilitated Commission leadership involvement in its work with inter-Tribal organizations, including a meeting at Commission headquarters for the National Congress of American Indians (NCAI) in February 2019, where Chairman Pai and Commissioners </w:t>
      </w:r>
      <w:r w:rsidRPr="00D85509">
        <w:t>O’Rielly</w:t>
      </w:r>
      <w:r w:rsidRPr="00D85509">
        <w:t xml:space="preserve">, Carr, </w:t>
      </w:r>
      <w:r w:rsidRPr="00D85509">
        <w:t>Rosenworcel</w:t>
      </w:r>
      <w:r w:rsidRPr="00D85509">
        <w:t>, and Starks</w:t>
      </w:r>
      <w:r>
        <w:t xml:space="preserve"> all</w:t>
      </w:r>
      <w:r w:rsidRPr="00D85509">
        <w:t xml:space="preserve"> engaged with Tribal representatives on a range of broadband deployment issues.</w:t>
      </w:r>
    </w:p>
    <w:p w:rsidR="00894BE1" w:rsidP="00894BE1" w14:paraId="128199F1" w14:textId="59159C8C">
      <w:pPr>
        <w:spacing w:after="120"/>
        <w:ind w:firstLine="720"/>
      </w:pPr>
      <w:r w:rsidRPr="00D85509">
        <w:t>Collectively, these outreach and consultative efforts have better identified and incorporated Tribal interests in Commission activities, with the aim of increasing access to broadband on Tribal lands, which is expected to be reflected in future broadband deployment data.</w:t>
      </w:r>
    </w:p>
    <w:p w:rsidR="008E407B" w:rsidRPr="00D85509" w:rsidP="007F64CB" w14:paraId="55F1C48D" w14:textId="22542E51">
      <w:pPr>
        <w:pStyle w:val="Heading2"/>
      </w:pPr>
      <w:bookmarkStart w:id="34" w:name="_Toc2857481"/>
      <w:bookmarkStart w:id="35" w:name="_Toc6578205"/>
      <w:r w:rsidRPr="00D85509">
        <w:t xml:space="preserve">Additional </w:t>
      </w:r>
      <w:r w:rsidRPr="00D85509" w:rsidR="00CE0BDF">
        <w:t>Actions</w:t>
      </w:r>
      <w:r w:rsidRPr="00D85509">
        <w:t xml:space="preserve"> </w:t>
      </w:r>
      <w:bookmarkStart w:id="36" w:name="_Hlk531101605"/>
      <w:r w:rsidRPr="00D85509">
        <w:t>to Increase Access to Mobile Broadband on Tribal Lands</w:t>
      </w:r>
      <w:bookmarkEnd w:id="34"/>
      <w:bookmarkEnd w:id="35"/>
      <w:bookmarkEnd w:id="36"/>
    </w:p>
    <w:p w:rsidR="008E407B" w:rsidRPr="00D85509" w:rsidP="00A45021" w14:paraId="3A12DDBD" w14:textId="717E2F4C">
      <w:pPr>
        <w:pStyle w:val="Heading3"/>
      </w:pPr>
      <w:bookmarkStart w:id="37" w:name="_Toc2857482"/>
      <w:bookmarkStart w:id="38" w:name="_Toc6578206"/>
      <w:r w:rsidRPr="00D85509">
        <w:t>2.5 GHz Band</w:t>
      </w:r>
      <w:bookmarkEnd w:id="37"/>
      <w:bookmarkEnd w:id="38"/>
    </w:p>
    <w:p w:rsidR="008E407B" w:rsidRPr="00D85509" w:rsidP="007F64CB" w14:paraId="00D16E9C" w14:textId="05F0B0D8">
      <w:pPr>
        <w:spacing w:after="120"/>
        <w:ind w:firstLine="720"/>
      </w:pPr>
      <w:r w:rsidRPr="00D85509">
        <w:rPr>
          <w:szCs w:val="24"/>
        </w:rPr>
        <w:t>In May 2018, the Commission released a Notice of Proposed Rulemaking (NPRM) requesting comment on significant changes to the Educational Broadband Service (EBS) in the 2.5 GHz band</w:t>
      </w:r>
      <w:r w:rsidRPr="00D85509" w:rsidR="0045154E">
        <w:rPr>
          <w:szCs w:val="24"/>
        </w:rPr>
        <w:t>.  Some of the proposed changes</w:t>
      </w:r>
      <w:r w:rsidRPr="00D85509">
        <w:rPr>
          <w:szCs w:val="24"/>
        </w:rPr>
        <w:t xml:space="preserve"> could increase opportunities for the provision of broadband services to Tribal entities on Tribal lands.</w:t>
      </w:r>
      <w:r>
        <w:rPr>
          <w:rStyle w:val="FootnoteReference"/>
          <w:szCs w:val="24"/>
        </w:rPr>
        <w:footnoteReference w:id="68"/>
      </w:r>
      <w:r w:rsidRPr="00D85509">
        <w:rPr>
          <w:szCs w:val="24"/>
        </w:rPr>
        <w:t xml:space="preserve">  The 2.5 GHz band has been identified as prime spectrum for next generation mobile operations, including 5G uses.  </w:t>
      </w:r>
      <w:r w:rsidRPr="00D85509" w:rsidR="0045154E">
        <w:rPr>
          <w:szCs w:val="24"/>
        </w:rPr>
        <w:t>Among other things</w:t>
      </w:r>
      <w:r w:rsidRPr="00D85509">
        <w:rPr>
          <w:szCs w:val="24"/>
        </w:rPr>
        <w:t xml:space="preserve">, the NPRM </w:t>
      </w:r>
      <w:r w:rsidRPr="00D85509" w:rsidR="0045154E">
        <w:rPr>
          <w:szCs w:val="24"/>
        </w:rPr>
        <w:t>seeks</w:t>
      </w:r>
      <w:r w:rsidRPr="00D85509">
        <w:rPr>
          <w:szCs w:val="24"/>
        </w:rPr>
        <w:t xml:space="preserve"> comment on opening several filing windows for unassigned 2.5 GHz frequencies (also known as “white space”) including one </w:t>
      </w:r>
      <w:r w:rsidRPr="00D85509" w:rsidR="0045154E">
        <w:rPr>
          <w:szCs w:val="24"/>
        </w:rPr>
        <w:t xml:space="preserve">window </w:t>
      </w:r>
      <w:r w:rsidRPr="00D85509">
        <w:rPr>
          <w:szCs w:val="24"/>
        </w:rPr>
        <w:t>that would be open only to rural Tribal Nations.</w:t>
      </w:r>
      <w:r>
        <w:rPr>
          <w:rStyle w:val="FootnoteReference"/>
          <w:szCs w:val="24"/>
        </w:rPr>
        <w:footnoteReference w:id="69"/>
      </w:r>
      <w:r w:rsidRPr="00D85509">
        <w:rPr>
          <w:szCs w:val="24"/>
        </w:rPr>
        <w:t xml:space="preserve">  As outlined in the NPRM, this window would be limited to participation by “federally-recognized American Indian Tribes and Alaska Native Villages located in rural areas</w:t>
      </w:r>
      <w:r w:rsidRPr="00D85509" w:rsidR="006456FB">
        <w:rPr>
          <w:szCs w:val="24"/>
        </w:rPr>
        <w:t>” and asks a number of questions about how such a definition should be applied</w:t>
      </w:r>
      <w:r w:rsidRPr="00D85509">
        <w:rPr>
          <w:szCs w:val="24"/>
        </w:rPr>
        <w:t>.</w:t>
      </w:r>
      <w:r>
        <w:rPr>
          <w:rStyle w:val="FootnoteReference"/>
          <w:szCs w:val="24"/>
        </w:rPr>
        <w:footnoteReference w:id="70"/>
      </w:r>
      <w:r w:rsidRPr="00D85509">
        <w:rPr>
          <w:szCs w:val="24"/>
        </w:rPr>
        <w:t xml:space="preserve">  In addition, the NPRM </w:t>
      </w:r>
      <w:r w:rsidRPr="00D85509" w:rsidR="0045154E">
        <w:rPr>
          <w:szCs w:val="24"/>
        </w:rPr>
        <w:t>seeks</w:t>
      </w:r>
      <w:r w:rsidRPr="00D85509">
        <w:rPr>
          <w:szCs w:val="24"/>
        </w:rPr>
        <w:t xml:space="preserve"> comment on other ways that the Commission could encourage the use of 2.5 GHz spectrum on Tribal lands.</w:t>
      </w:r>
      <w:r>
        <w:rPr>
          <w:rStyle w:val="FootnoteReference"/>
          <w:szCs w:val="24"/>
        </w:rPr>
        <w:footnoteReference w:id="71"/>
      </w:r>
      <w:r w:rsidRPr="00D85509">
        <w:rPr>
          <w:szCs w:val="24"/>
        </w:rPr>
        <w:t xml:space="preserve">  The </w:t>
      </w:r>
      <w:r w:rsidR="00690C2A">
        <w:rPr>
          <w:szCs w:val="24"/>
        </w:rPr>
        <w:t>NPRM</w:t>
      </w:r>
      <w:r w:rsidRPr="00D85509" w:rsidR="00690C2A">
        <w:rPr>
          <w:szCs w:val="24"/>
        </w:rPr>
        <w:t xml:space="preserve"> </w:t>
      </w:r>
      <w:r w:rsidRPr="00D85509">
        <w:rPr>
          <w:szCs w:val="24"/>
        </w:rPr>
        <w:t>also seeks comment on whether it should instead auction white space in the 2.5 GHz band and make it available to all interested entities, including Tribal Nations, as well as whether to eliminate eligibility and educational use restrictions, which would permit EBS licensees to assign their licenses to any entity, including Tribal Nations</w:t>
      </w:r>
      <w:r w:rsidRPr="00D85509">
        <w:rPr>
          <w:szCs w:val="24"/>
        </w:rPr>
        <w:t>.</w:t>
      </w:r>
      <w:r>
        <w:rPr>
          <w:rStyle w:val="FootnoteReference"/>
          <w:szCs w:val="24"/>
        </w:rPr>
        <w:footnoteReference w:id="72"/>
      </w:r>
    </w:p>
    <w:p w:rsidR="008E407B" w:rsidRPr="00D85509" w:rsidP="00A45021" w14:paraId="273B4070" w14:textId="5E31369A">
      <w:pPr>
        <w:pStyle w:val="Heading3"/>
      </w:pPr>
      <w:bookmarkStart w:id="39" w:name="_Toc2857483"/>
      <w:bookmarkStart w:id="40" w:name="_Toc6578207"/>
      <w:r w:rsidRPr="00D85509">
        <w:t>Tribal Lands Bidding Credits</w:t>
      </w:r>
      <w:bookmarkEnd w:id="39"/>
      <w:bookmarkEnd w:id="40"/>
      <w:r w:rsidRPr="00D85509">
        <w:t xml:space="preserve"> </w:t>
      </w:r>
    </w:p>
    <w:p w:rsidR="008E407B" w:rsidRPr="00D85509" w:rsidP="007F64CB" w14:paraId="218BE235" w14:textId="4282C160">
      <w:pPr>
        <w:spacing w:after="120"/>
        <w:ind w:firstLine="720"/>
        <w:rPr>
          <w:szCs w:val="24"/>
        </w:rPr>
      </w:pPr>
      <w:r w:rsidRPr="00D85509">
        <w:rPr>
          <w:szCs w:val="24"/>
        </w:rPr>
        <w:t xml:space="preserve">The Commission’s rules provide the opportunity for spectrum auction winners to obtain a discount (in the form of a refund) for providing service to qualifying Tribal lands, known as </w:t>
      </w:r>
      <w:bookmarkStart w:id="41" w:name="_Hlk514658548"/>
      <w:r w:rsidRPr="00D85509">
        <w:rPr>
          <w:szCs w:val="24"/>
        </w:rPr>
        <w:t>the Tribal Lands Bidding Credit (TLBC).</w:t>
      </w:r>
      <w:bookmarkEnd w:id="41"/>
      <w:r>
        <w:rPr>
          <w:rStyle w:val="FootnoteReference"/>
          <w:szCs w:val="24"/>
        </w:rPr>
        <w:footnoteReference w:id="73"/>
      </w:r>
      <w:r w:rsidRPr="00D85509">
        <w:rPr>
          <w:szCs w:val="24"/>
        </w:rPr>
        <w:t xml:space="preserve">  To qualify for a TLBC, the winning bidder must</w:t>
      </w:r>
      <w:r w:rsidRPr="00D85509" w:rsidR="0034595D">
        <w:rPr>
          <w:szCs w:val="24"/>
        </w:rPr>
        <w:t xml:space="preserve"> demonstrate that it will serve qualifying Tribal lands</w:t>
      </w:r>
      <w:r>
        <w:rPr>
          <w:rStyle w:val="FootnoteReference"/>
          <w:szCs w:val="24"/>
        </w:rPr>
        <w:footnoteReference w:id="74"/>
      </w:r>
      <w:r w:rsidRPr="00D85509" w:rsidR="0034595D">
        <w:rPr>
          <w:szCs w:val="24"/>
        </w:rPr>
        <w:t xml:space="preserve"> and</w:t>
      </w:r>
      <w:r w:rsidRPr="00D85509" w:rsidR="00EE0073">
        <w:rPr>
          <w:szCs w:val="24"/>
        </w:rPr>
        <w:t>,</w:t>
      </w:r>
      <w:r w:rsidRPr="00D85509" w:rsidR="0034595D">
        <w:rPr>
          <w:szCs w:val="24"/>
        </w:rPr>
        <w:t xml:space="preserve"> within 180 days after filing its license application,</w:t>
      </w:r>
      <w:r w:rsidRPr="00D85509" w:rsidR="00EE0073">
        <w:rPr>
          <w:szCs w:val="24"/>
        </w:rPr>
        <w:t xml:space="preserve"> provide certifications from </w:t>
      </w:r>
      <w:r w:rsidRPr="00D85509" w:rsidR="0034595D">
        <w:rPr>
          <w:szCs w:val="24"/>
        </w:rPr>
        <w:t xml:space="preserve">the applicable Tribal government </w:t>
      </w:r>
      <w:r w:rsidRPr="00D85509" w:rsidR="00EE0073">
        <w:rPr>
          <w:szCs w:val="24"/>
        </w:rPr>
        <w:t xml:space="preserve">and attest that </w:t>
      </w:r>
      <w:r w:rsidRPr="00D85509" w:rsidR="0034595D">
        <w:rPr>
          <w:szCs w:val="24"/>
        </w:rPr>
        <w:t xml:space="preserve">it will construct and operate a system capable of serving 75% of the </w:t>
      </w:r>
      <w:r w:rsidRPr="00D85509" w:rsidR="00EE0073">
        <w:rPr>
          <w:szCs w:val="24"/>
        </w:rPr>
        <w:t xml:space="preserve">qualifying Tribal land </w:t>
      </w:r>
      <w:r w:rsidRPr="00D85509" w:rsidR="0034595D">
        <w:rPr>
          <w:szCs w:val="24"/>
        </w:rPr>
        <w:t>population within three years of license grant</w:t>
      </w:r>
      <w:r w:rsidRPr="00D85509" w:rsidR="00EE0073">
        <w:rPr>
          <w:szCs w:val="24"/>
        </w:rPr>
        <w:t xml:space="preserve">.  </w:t>
      </w:r>
      <w:r w:rsidRPr="00D85509" w:rsidR="0034595D">
        <w:rPr>
          <w:szCs w:val="24"/>
        </w:rPr>
        <w:t>Recipients that do not meet the performance requirement are required to pay back the credit plus interest.</w:t>
      </w:r>
      <w:r w:rsidRPr="00D85509" w:rsidR="0034595D">
        <w:rPr>
          <w:i/>
        </w:rPr>
        <w:t xml:space="preserve"> </w:t>
      </w:r>
      <w:r w:rsidRPr="00D85509" w:rsidR="0034595D">
        <w:t xml:space="preserve">  </w:t>
      </w:r>
    </w:p>
    <w:p w:rsidR="00412E0C" w:rsidRPr="00D85509" w:rsidP="00EE0073" w14:paraId="3A5852C7" w14:textId="7DBCFFD8">
      <w:pPr>
        <w:spacing w:after="120"/>
        <w:ind w:firstLine="720"/>
        <w:rPr>
          <w:szCs w:val="24"/>
        </w:rPr>
      </w:pPr>
      <w:r w:rsidRPr="00D85509">
        <w:rPr>
          <w:szCs w:val="24"/>
        </w:rPr>
        <w:t xml:space="preserve">The TLBC was initially implemented in 2000, and </w:t>
      </w:r>
      <w:r w:rsidR="003A389A">
        <w:rPr>
          <w:szCs w:val="24"/>
        </w:rPr>
        <w:t xml:space="preserve">the </w:t>
      </w:r>
      <w:r w:rsidRPr="00D85509">
        <w:rPr>
          <w:szCs w:val="24"/>
        </w:rPr>
        <w:t>W</w:t>
      </w:r>
      <w:r w:rsidR="003A389A">
        <w:rPr>
          <w:szCs w:val="24"/>
        </w:rPr>
        <w:t xml:space="preserve">ireless </w:t>
      </w:r>
      <w:r w:rsidRPr="00D85509">
        <w:rPr>
          <w:szCs w:val="24"/>
        </w:rPr>
        <w:t>T</w:t>
      </w:r>
      <w:r w:rsidR="003A389A">
        <w:rPr>
          <w:szCs w:val="24"/>
        </w:rPr>
        <w:t xml:space="preserve">elecommunications </w:t>
      </w:r>
      <w:r w:rsidRPr="00D85509">
        <w:rPr>
          <w:szCs w:val="24"/>
        </w:rPr>
        <w:t>B</w:t>
      </w:r>
      <w:r w:rsidR="003A389A">
        <w:rPr>
          <w:szCs w:val="24"/>
        </w:rPr>
        <w:t>ureau</w:t>
      </w:r>
      <w:r w:rsidRPr="00D85509">
        <w:rPr>
          <w:szCs w:val="24"/>
        </w:rPr>
        <w:t xml:space="preserve"> has been reviewing TLBC applications and issuing credits since that time for licenses in bands such as AWS-1 (2006), 700 MHz (2008) and AWS-3 (2015).  Most recently, in 2016 and 2017, in the Broadcast Incentive Auction, </w:t>
      </w:r>
      <w:r w:rsidR="003A389A">
        <w:rPr>
          <w:szCs w:val="24"/>
        </w:rPr>
        <w:t xml:space="preserve">the </w:t>
      </w:r>
      <w:r w:rsidRPr="00D85509" w:rsidR="003A389A">
        <w:rPr>
          <w:szCs w:val="24"/>
        </w:rPr>
        <w:t>W</w:t>
      </w:r>
      <w:r w:rsidR="003A389A">
        <w:rPr>
          <w:szCs w:val="24"/>
        </w:rPr>
        <w:t xml:space="preserve">ireless </w:t>
      </w:r>
      <w:r w:rsidRPr="00D85509" w:rsidR="003A389A">
        <w:rPr>
          <w:szCs w:val="24"/>
        </w:rPr>
        <w:t>T</w:t>
      </w:r>
      <w:r w:rsidR="003A389A">
        <w:rPr>
          <w:szCs w:val="24"/>
        </w:rPr>
        <w:t xml:space="preserve">elecommunications </w:t>
      </w:r>
      <w:r w:rsidRPr="00D85509" w:rsidR="003A389A">
        <w:rPr>
          <w:szCs w:val="24"/>
        </w:rPr>
        <w:t>B</w:t>
      </w:r>
      <w:r w:rsidR="003A389A">
        <w:rPr>
          <w:szCs w:val="24"/>
        </w:rPr>
        <w:t>ureau</w:t>
      </w:r>
      <w:r w:rsidRPr="00D85509" w:rsidR="003A389A">
        <w:rPr>
          <w:szCs w:val="24"/>
        </w:rPr>
        <w:t xml:space="preserve"> </w:t>
      </w:r>
      <w:r w:rsidRPr="00D85509">
        <w:rPr>
          <w:szCs w:val="24"/>
        </w:rPr>
        <w:t xml:space="preserve">issued TLBCs for licenses in the 600 MHz band.  </w:t>
      </w:r>
    </w:p>
    <w:p w:rsidR="0034595D" w:rsidRPr="00D85509" w:rsidP="00A45021" w14:paraId="5065D78F" w14:textId="1484A5BC">
      <w:pPr>
        <w:pStyle w:val="Heading3"/>
      </w:pPr>
      <w:bookmarkStart w:id="42" w:name="_Toc2181216"/>
      <w:bookmarkStart w:id="43" w:name="_Toc2181279"/>
      <w:bookmarkStart w:id="44" w:name="_Toc2181304"/>
      <w:bookmarkStart w:id="45" w:name="_Toc2181341"/>
      <w:bookmarkStart w:id="46" w:name="_Toc2238090"/>
      <w:bookmarkStart w:id="47" w:name="_Toc2238114"/>
      <w:bookmarkStart w:id="48" w:name="_Toc2857484"/>
      <w:bookmarkStart w:id="49" w:name="_Toc6578208"/>
      <w:r w:rsidRPr="00D85509">
        <w:t>Recent and Planned Spectrum Auctions</w:t>
      </w:r>
      <w:bookmarkEnd w:id="42"/>
      <w:bookmarkEnd w:id="43"/>
      <w:bookmarkEnd w:id="44"/>
      <w:bookmarkEnd w:id="45"/>
      <w:bookmarkEnd w:id="46"/>
      <w:bookmarkEnd w:id="47"/>
      <w:bookmarkEnd w:id="48"/>
      <w:bookmarkEnd w:id="49"/>
    </w:p>
    <w:p w:rsidR="00EE0073" w:rsidRPr="00D85509" w:rsidP="003C7021" w14:paraId="5CF257F7" w14:textId="37852918">
      <w:pPr>
        <w:widowControl/>
        <w:spacing w:after="120"/>
        <w:ind w:firstLine="720"/>
      </w:pPr>
      <w:r w:rsidRPr="00D85509">
        <w:t xml:space="preserve">The Commission has been undertaking </w:t>
      </w:r>
      <w:r w:rsidRPr="00D85509" w:rsidR="00DE4675">
        <w:t xml:space="preserve">various </w:t>
      </w:r>
      <w:r w:rsidRPr="00D85509">
        <w:t xml:space="preserve">measures to make spectrum </w:t>
      </w:r>
      <w:r w:rsidRPr="00D85509" w:rsidR="00EB07FC">
        <w:t xml:space="preserve">available </w:t>
      </w:r>
      <w:r w:rsidRPr="00D85509">
        <w:t xml:space="preserve">to promote the proliferation of next-generation networks across the country, including on Tribal lands. </w:t>
      </w:r>
      <w:r w:rsidRPr="00D85509" w:rsidR="00F9367D">
        <w:t xml:space="preserve"> </w:t>
      </w:r>
      <w:r w:rsidRPr="00D85509">
        <w:t>With respect</w:t>
      </w:r>
      <w:r w:rsidRPr="00D85509">
        <w:t xml:space="preserve"> </w:t>
      </w:r>
      <w:r w:rsidRPr="00D85509">
        <w:t xml:space="preserve">to low-band spectrum, the Commission in 2017 completed a two-part incentive auction to repurpose 84 </w:t>
      </w:r>
      <w:r w:rsidRPr="00D85509" w:rsidR="00F9367D">
        <w:t xml:space="preserve">megahertz of </w:t>
      </w:r>
      <w:r w:rsidRPr="00D85509">
        <w:t>spectrum in the 600 MHz band.</w:t>
      </w:r>
      <w:r>
        <w:rPr>
          <w:rStyle w:val="FootnoteReference"/>
          <w:rFonts w:eastAsia="Symbol"/>
        </w:rPr>
        <w:footnoteReference w:id="75"/>
      </w:r>
      <w:r w:rsidRPr="00D85509">
        <w:t xml:space="preserve">  </w:t>
      </w:r>
    </w:p>
    <w:p w:rsidR="0034595D" w:rsidRPr="00D85509" w:rsidP="007F64CB" w14:paraId="6E0B797D" w14:textId="37FC12FE">
      <w:pPr>
        <w:spacing w:after="120"/>
        <w:ind w:firstLine="720"/>
      </w:pPr>
      <w:r w:rsidRPr="00D85509">
        <w:t>For mid-band spectrum, the Commission in July 2018 released a</w:t>
      </w:r>
      <w:r w:rsidR="00D81ED7">
        <w:t>n</w:t>
      </w:r>
      <w:r w:rsidRPr="00D85509">
        <w:t xml:space="preserve"> </w:t>
      </w:r>
      <w:r w:rsidRPr="00D85509" w:rsidR="00FC2021">
        <w:t>NPRM</w:t>
      </w:r>
      <w:r w:rsidRPr="00D85509">
        <w:t xml:space="preserve"> that seeks to identify potential opportunities for additional terrestrial use—particularly for wireless broadband services—of </w:t>
      </w:r>
      <w:r w:rsidRPr="00D85509" w:rsidR="00383D03">
        <w:t>500 megahertz</w:t>
      </w:r>
      <w:r w:rsidRPr="00D85509">
        <w:t xml:space="preserve"> of spectrum between 3.7-4.2 GHz.</w:t>
      </w:r>
      <w:r>
        <w:rPr>
          <w:rStyle w:val="FootnoteReference"/>
          <w:rFonts w:eastAsia="Symbol"/>
          <w:sz w:val="22"/>
        </w:rPr>
        <w:footnoteReference w:id="76"/>
      </w:r>
      <w:r w:rsidRPr="00D85509">
        <w:t xml:space="preserve">  In seeking comment on the appropriate service areas for any flexible use licenses in this band, the NPRM asks commenters to </w:t>
      </w:r>
      <w:r w:rsidR="00D81ED7">
        <w:t>address</w:t>
      </w:r>
      <w:r w:rsidRPr="00D85509" w:rsidR="00D81ED7">
        <w:t xml:space="preserve"> </w:t>
      </w:r>
      <w:r w:rsidRPr="00D85509">
        <w:t>factors such as encouraging deployment of wireless broadband services to consumers on Tribal lands.</w:t>
      </w:r>
      <w:r>
        <w:rPr>
          <w:rStyle w:val="FootnoteReference"/>
          <w:rFonts w:eastAsia="Symbol"/>
          <w:sz w:val="22"/>
        </w:rPr>
        <w:footnoteReference w:id="77"/>
      </w:r>
      <w:r w:rsidRPr="00D85509">
        <w:t xml:space="preserve">  </w:t>
      </w:r>
      <w:r w:rsidRPr="00D85509" w:rsidR="008C1493">
        <w:t>Also, as discussed, the Commission has sought comment on proposals to auction spectrum in the 2.5 G</w:t>
      </w:r>
      <w:r w:rsidR="001A27D3">
        <w:t>H</w:t>
      </w:r>
      <w:r w:rsidRPr="00D85509" w:rsidR="008C1493">
        <w:t>z band.</w:t>
      </w:r>
      <w:r>
        <w:rPr>
          <w:rStyle w:val="FootnoteReference"/>
          <w:sz w:val="22"/>
        </w:rPr>
        <w:footnoteReference w:id="78"/>
      </w:r>
      <w:r w:rsidRPr="00D85509" w:rsidR="008C1493">
        <w:t xml:space="preserve"> </w:t>
      </w:r>
      <w:r w:rsidRPr="00D85509" w:rsidR="00D73DFE">
        <w:t xml:space="preserve"> </w:t>
      </w:r>
      <w:r w:rsidRPr="00D85509">
        <w:t>In October 2018</w:t>
      </w:r>
      <w:r w:rsidR="00377BF0">
        <w:t>,</w:t>
      </w:r>
      <w:r w:rsidRPr="00D85509">
        <w:t xml:space="preserve"> the Commission modified the rules governing the Citizens Broadband Radio Service </w:t>
      </w:r>
      <w:r w:rsidRPr="00D85509" w:rsidR="00F7463F">
        <w:t xml:space="preserve">(CBRS) </w:t>
      </w:r>
      <w:r w:rsidRPr="00D85509">
        <w:t>in the 3.5 GHz band to promote additional investment and encourage broader and more intensive deployment in the band.</w:t>
      </w:r>
      <w:r>
        <w:rPr>
          <w:rStyle w:val="FootnoteReference"/>
          <w:rFonts w:eastAsia="Symbol"/>
          <w:sz w:val="22"/>
        </w:rPr>
        <w:footnoteReference w:id="79"/>
      </w:r>
      <w:r w:rsidRPr="00D85509">
        <w:t xml:space="preserve">  </w:t>
      </w:r>
      <w:r w:rsidRPr="00D85509" w:rsidR="003A3B99">
        <w:t>As part of this action, t</w:t>
      </w:r>
      <w:r w:rsidRPr="00D85509">
        <w:t>he Commission</w:t>
      </w:r>
      <w:r w:rsidRPr="00D85509" w:rsidR="00F7463F">
        <w:t xml:space="preserve"> </w:t>
      </w:r>
      <w:r w:rsidRPr="00D85509">
        <w:t>made TLBCs available to winning bidders in the 3.5 GHz auction</w:t>
      </w:r>
      <w:r w:rsidR="00377BF0">
        <w:t>, which will be held in 2020</w:t>
      </w:r>
      <w:r w:rsidRPr="00D85509">
        <w:t>.</w:t>
      </w:r>
      <w:r>
        <w:rPr>
          <w:rStyle w:val="FootnoteReference"/>
          <w:rFonts w:eastAsia="Symbol"/>
          <w:sz w:val="22"/>
        </w:rPr>
        <w:footnoteReference w:id="80"/>
      </w:r>
      <w:r w:rsidRPr="00D85509">
        <w:t xml:space="preserve">  </w:t>
      </w:r>
      <w:r w:rsidRPr="00D85509" w:rsidR="00BB5F53">
        <w:t>T</w:t>
      </w:r>
      <w:r w:rsidRPr="00D85509">
        <w:t xml:space="preserve">he Commission </w:t>
      </w:r>
      <w:r w:rsidRPr="00D85509" w:rsidR="00BB5F53">
        <w:t xml:space="preserve">also </w:t>
      </w:r>
      <w:r w:rsidRPr="00D85509">
        <w:t>released a</w:t>
      </w:r>
      <w:r w:rsidR="00D81ED7">
        <w:t>n</w:t>
      </w:r>
      <w:r w:rsidRPr="00D85509">
        <w:t xml:space="preserve"> </w:t>
      </w:r>
      <w:r w:rsidRPr="00D85509" w:rsidR="00FC2021">
        <w:t>NPRM</w:t>
      </w:r>
      <w:r w:rsidRPr="00D85509">
        <w:t xml:space="preserve"> seeking comment on making available up to 1200 </w:t>
      </w:r>
      <w:r w:rsidRPr="00D85509" w:rsidR="00DB3040">
        <w:t xml:space="preserve">megahertz </w:t>
      </w:r>
      <w:r w:rsidRPr="00D85509">
        <w:t>of spectrum for use by unlicensed devices in the 6 GHz band (5.925-7.125 GHz) without interfering with the operation of the licensed services that will continue to use this spectrum so as to advance the Commission’s efforts to make broadband connectivity available to everyone, especially those living in rural and underserved areas.</w:t>
      </w:r>
      <w:r>
        <w:rPr>
          <w:rStyle w:val="FootnoteReference"/>
          <w:rFonts w:eastAsia="Symbol"/>
          <w:sz w:val="22"/>
        </w:rPr>
        <w:footnoteReference w:id="81"/>
      </w:r>
    </w:p>
    <w:p w:rsidR="00A025C6" w:rsidRPr="002919C4" w:rsidP="002919C4" w14:paraId="32076723" w14:textId="46DDCDC3">
      <w:pPr>
        <w:spacing w:before="120"/>
        <w:ind w:firstLine="720"/>
      </w:pPr>
      <w:bookmarkStart w:id="50" w:name="_Hlk6958412"/>
      <w:r w:rsidRPr="00D85509">
        <w:t xml:space="preserve">Additionally, </w:t>
      </w:r>
      <w:r w:rsidRPr="00D85509" w:rsidR="0034595D">
        <w:t xml:space="preserve">through its </w:t>
      </w:r>
      <w:r w:rsidRPr="00D85509" w:rsidR="0034595D">
        <w:rPr>
          <w:i/>
        </w:rPr>
        <w:t>Spectrum Frontiers</w:t>
      </w:r>
      <w:r w:rsidRPr="00D85509" w:rsidR="0034595D">
        <w:t xml:space="preserve"> proceedings, </w:t>
      </w:r>
      <w:r w:rsidRPr="00D85509">
        <w:t xml:space="preserve">the Commission </w:t>
      </w:r>
      <w:r w:rsidRPr="00D85509" w:rsidR="0034595D">
        <w:t xml:space="preserve">has taken measures </w:t>
      </w:r>
      <w:r w:rsidRPr="00D85509" w:rsidR="00320C62">
        <w:t>to mak</w:t>
      </w:r>
      <w:r w:rsidRPr="00D85509" w:rsidR="00C2304C">
        <w:t>e</w:t>
      </w:r>
      <w:r w:rsidRPr="00D85509" w:rsidR="0034595D">
        <w:t xml:space="preserve"> high-band </w:t>
      </w:r>
      <w:r w:rsidRPr="00D85509" w:rsidR="005540BD">
        <w:t xml:space="preserve">millimeter wave </w:t>
      </w:r>
      <w:r w:rsidRPr="00D85509" w:rsidR="0034595D">
        <w:t>spectrum</w:t>
      </w:r>
      <w:r w:rsidRPr="00D85509" w:rsidR="00EE0073">
        <w:t xml:space="preserve"> available for flexible use.  These millimeter wave bands</w:t>
      </w:r>
      <w:r w:rsidRPr="00D85509" w:rsidR="00CC1693">
        <w:t xml:space="preserve"> will be </w:t>
      </w:r>
      <w:r w:rsidRPr="00D85509" w:rsidR="00E4266D">
        <w:t>crucial in the p</w:t>
      </w:r>
      <w:r w:rsidRPr="00D85509" w:rsidR="0074364E">
        <w:t>romotion of the deployment of fifth-generation (5G) wireless</w:t>
      </w:r>
      <w:r w:rsidRPr="00D85509" w:rsidR="00CC1693">
        <w:t>, the Internet of Things and other advanced spectrum-base services</w:t>
      </w:r>
      <w:r w:rsidRPr="00D85509" w:rsidR="0034595D">
        <w:t>.</w:t>
      </w:r>
      <w:r>
        <w:rPr>
          <w:rStyle w:val="FootnoteReference"/>
          <w:rFonts w:eastAsia="Symbol"/>
        </w:rPr>
        <w:footnoteReference w:id="82"/>
      </w:r>
      <w:r w:rsidRPr="00D85509" w:rsidR="0034595D">
        <w:t xml:space="preserve">  TLBCs</w:t>
      </w:r>
      <w:r w:rsidR="00972F64">
        <w:t xml:space="preserve"> are available</w:t>
      </w:r>
      <w:r w:rsidRPr="00D85509" w:rsidR="0034595D">
        <w:t xml:space="preserve"> to the winning bidders</w:t>
      </w:r>
      <w:r w:rsidR="00972F64">
        <w:t xml:space="preserve"> in these auctions</w:t>
      </w:r>
      <w:r w:rsidRPr="00D85509" w:rsidR="0034595D">
        <w:t>.</w:t>
      </w:r>
      <w:r>
        <w:rPr>
          <w:rStyle w:val="FootnoteReference"/>
          <w:rFonts w:eastAsia="Symbol"/>
        </w:rPr>
        <w:footnoteReference w:id="83"/>
      </w:r>
      <w:bookmarkEnd w:id="50"/>
    </w:p>
    <w:p w:rsidR="00A025C6" w:rsidRPr="00D85509" w:rsidP="002919C4" w14:paraId="34BB9751" w14:textId="0DF4E1E8">
      <w:pPr>
        <w:pStyle w:val="Heading1"/>
        <w:spacing w:before="120"/>
      </w:pPr>
      <w:bookmarkStart w:id="51" w:name="_Toc2857485"/>
      <w:bookmarkStart w:id="52" w:name="_Toc6578209"/>
      <w:r w:rsidRPr="00D85509">
        <w:t>Conclusion</w:t>
      </w:r>
      <w:bookmarkEnd w:id="51"/>
      <w:bookmarkEnd w:id="52"/>
    </w:p>
    <w:p w:rsidR="00D879C9" w:rsidRPr="00D85509" w:rsidP="00D879C9" w14:paraId="6F73F80A" w14:textId="3E59A7BA">
      <w:pPr>
        <w:ind w:firstLine="720"/>
      </w:pPr>
      <w:r w:rsidRPr="00D85509">
        <w:t xml:space="preserve">As the recent </w:t>
      </w:r>
      <w:r w:rsidRPr="00D85509">
        <w:rPr>
          <w:i/>
        </w:rPr>
        <w:t>Broadband Deployment Report</w:t>
      </w:r>
      <w:r w:rsidRPr="00D85509">
        <w:t xml:space="preserve"> </w:t>
      </w:r>
      <w:r w:rsidRPr="00D85509" w:rsidR="007F4BBE">
        <w:t>demonstrates</w:t>
      </w:r>
      <w:r w:rsidRPr="00D85509">
        <w:t>, t</w:t>
      </w:r>
      <w:r w:rsidRPr="00D85509" w:rsidR="00BB5F53">
        <w:t>he Commission</w:t>
      </w:r>
      <w:r w:rsidRPr="00D85509">
        <w:t xml:space="preserve">’s efforts to promote widespread deployment </w:t>
      </w:r>
      <w:r w:rsidRPr="00D85509" w:rsidR="007F4BBE">
        <w:t xml:space="preserve">of broadband services </w:t>
      </w:r>
      <w:r w:rsidRPr="00D85509">
        <w:t>have</w:t>
      </w:r>
      <w:r w:rsidRPr="00D85509" w:rsidR="007F4BBE">
        <w:t xml:space="preserve"> led to </w:t>
      </w:r>
      <w:r w:rsidRPr="00D85509">
        <w:t xml:space="preserve">increased availability </w:t>
      </w:r>
      <w:r w:rsidRPr="00D85509" w:rsidR="007F4BBE">
        <w:t>for</w:t>
      </w:r>
      <w:r w:rsidRPr="00D85509">
        <w:t xml:space="preserve"> Americans nationwide.  However, </w:t>
      </w:r>
      <w:r w:rsidRPr="00D85509" w:rsidR="007F4BBE">
        <w:t xml:space="preserve">more </w:t>
      </w:r>
      <w:r w:rsidRPr="00D85509">
        <w:t>work remains to ensure that those living</w:t>
      </w:r>
      <w:r w:rsidR="00D81ED7">
        <w:t xml:space="preserve"> on Tribal lands, which are among</w:t>
      </w:r>
      <w:r w:rsidRPr="00D85509" w:rsidR="007F4BBE">
        <w:t xml:space="preserve"> </w:t>
      </w:r>
      <w:r w:rsidRPr="00D85509">
        <w:t xml:space="preserve">the hardest-to-reach </w:t>
      </w:r>
      <w:r w:rsidR="00D81ED7">
        <w:t>in the country</w:t>
      </w:r>
      <w:r w:rsidRPr="00D85509">
        <w:t>, experience the</w:t>
      </w:r>
      <w:r w:rsidRPr="00D85509" w:rsidR="007F4BBE">
        <w:t xml:space="preserve"> myriad </w:t>
      </w:r>
      <w:r w:rsidRPr="00D85509" w:rsidR="005B684D">
        <w:t xml:space="preserve">of </w:t>
      </w:r>
      <w:r w:rsidRPr="00D85509" w:rsidR="007F4BBE">
        <w:t xml:space="preserve">benefits of robust broadband service.  </w:t>
      </w:r>
      <w:r w:rsidRPr="00D85509" w:rsidR="00EE0073">
        <w:t>Alt</w:t>
      </w:r>
      <w:r w:rsidRPr="00D85509" w:rsidR="007F4BBE">
        <w:t xml:space="preserve">hough many of the Commission’s </w:t>
      </w:r>
      <w:r w:rsidRPr="00D85509">
        <w:t xml:space="preserve">current </w:t>
      </w:r>
      <w:r w:rsidRPr="00D85509" w:rsidR="007F4BBE">
        <w:t>programs will continue</w:t>
      </w:r>
      <w:r w:rsidRPr="00D85509" w:rsidR="00EE0073">
        <w:t xml:space="preserve"> to</w:t>
      </w:r>
      <w:r w:rsidRPr="00D85509" w:rsidR="007F4BBE">
        <w:t xml:space="preserve"> narrow the Tribal broadband gap, </w:t>
      </w:r>
      <w:r w:rsidRPr="00D85509">
        <w:t xml:space="preserve">additional </w:t>
      </w:r>
      <w:r w:rsidRPr="00D85509" w:rsidR="00EE0073">
        <w:t>collaboration</w:t>
      </w:r>
      <w:r w:rsidRPr="00D85509">
        <w:t xml:space="preserve"> between the Commission, Tribal governments, and industry will further </w:t>
      </w:r>
      <w:r w:rsidRPr="00D85509" w:rsidR="00D6655A">
        <w:t xml:space="preserve">the efforts already in place.  </w:t>
      </w:r>
      <w:r w:rsidRPr="00D85509" w:rsidR="00AA7109">
        <w:t>The Commission looks forward to that focused collaboration.  Moreover, c</w:t>
      </w:r>
      <w:r w:rsidRPr="00D85509">
        <w:t xml:space="preserve">onsistent with the Act, </w:t>
      </w:r>
      <w:r w:rsidRPr="00D85509" w:rsidR="007F4BBE">
        <w:t>the Commission</w:t>
      </w:r>
      <w:r w:rsidRPr="00D85509">
        <w:t xml:space="preserve"> will</w:t>
      </w:r>
      <w:r w:rsidRPr="00D85509" w:rsidR="007F4BBE">
        <w:t xml:space="preserve"> </w:t>
      </w:r>
      <w:r w:rsidRPr="00D85509" w:rsidR="00BB5F53">
        <w:t xml:space="preserve">initiate a proceeding </w:t>
      </w:r>
      <w:r w:rsidRPr="00D85509" w:rsidR="00BB5F53">
        <w:t>in the near future</w:t>
      </w:r>
      <w:r w:rsidRPr="00D85509" w:rsidR="00BB5F53">
        <w:t xml:space="preserve"> </w:t>
      </w:r>
      <w:r w:rsidRPr="00D85509">
        <w:t>to explore and develop proposals to ensure that those living in Indian country are not left behind as broadband deployment at higher speeds proliferates across the country.</w:t>
      </w:r>
    </w:p>
    <w:p w:rsidR="00BB5F53" w:rsidRPr="00D85509" w:rsidP="007F64CB" w14:paraId="14CC1B56" w14:textId="77777777">
      <w:pPr>
        <w:ind w:firstLine="720"/>
      </w:pPr>
    </w:p>
    <w:p w:rsidR="00BB5F53" w:rsidRPr="00D85509" w:rsidP="007F64CB" w14:paraId="67DCC18A" w14:textId="77777777">
      <w:pPr>
        <w:ind w:firstLine="720"/>
      </w:pPr>
    </w:p>
    <w:sectPr w:rsidSect="00F378D2">
      <w:headerReference w:type="default" r:id="rId22"/>
      <w:headerReference w:type="first" r:id="rId23"/>
      <w:pgSz w:w="12240" w:h="15840"/>
      <w:pgMar w:top="1440"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Fonts w:cstheme="minorHAnsi"/>
      </w:rPr>
      <w:id w:val="274835715"/>
      <w:docPartObj>
        <w:docPartGallery w:val="Page Numbers (Bottom of Page)"/>
        <w:docPartUnique/>
      </w:docPartObj>
    </w:sdtPr>
    <w:sdtEndPr>
      <w:rPr>
        <w:noProof/>
      </w:rPr>
    </w:sdtEndPr>
    <w:sdtContent>
      <w:p w:rsidR="00CD5020" w:rsidRPr="00A902B3" w14:paraId="1202055C" w14:textId="42659539">
        <w:pPr>
          <w:pStyle w:val="Footer"/>
          <w:jc w:val="center"/>
          <w:rPr>
            <w:rFonts w:cstheme="minorHAnsi"/>
          </w:rPr>
        </w:pPr>
        <w:r w:rsidRPr="009071F2">
          <w:fldChar w:fldCharType="begin"/>
        </w:r>
        <w:r w:rsidRPr="009071F2">
          <w:instrText xml:space="preserve"> PAGE   \* MERGEFORMAT </w:instrText>
        </w:r>
        <w:r w:rsidRPr="009071F2">
          <w:fldChar w:fldCharType="separate"/>
        </w:r>
        <w:r w:rsidRPr="009071F2">
          <w:rPr>
            <w:noProof/>
          </w:rPr>
          <w:t>13</w:t>
        </w:r>
        <w:r w:rsidRPr="009071F2">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D5020" w14:paraId="554E4390" w14:textId="49C79951">
    <w:pPr>
      <w:pStyle w:val="Footer"/>
      <w:jc w:val="center"/>
    </w:pPr>
  </w:p>
  <w:p w:rsidR="00CD5020" w14:paraId="41B2CC6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514BBB" w:rsidP="004C7B76" w14:paraId="019FFA0C" w14:textId="77777777">
      <w:r>
        <w:separator/>
      </w:r>
    </w:p>
  </w:footnote>
  <w:footnote w:type="continuationSeparator" w:id="1">
    <w:p w:rsidR="00514BBB" w:rsidP="004C7B76" w14:paraId="00D6D522" w14:textId="77777777">
      <w:r>
        <w:continuationSeparator/>
      </w:r>
    </w:p>
  </w:footnote>
  <w:footnote w:type="continuationNotice" w:id="2">
    <w:p w:rsidR="00514BBB" w14:paraId="418BAB85" w14:textId="77777777"/>
  </w:footnote>
  <w:footnote w:id="3">
    <w:p w:rsidR="00CD5020" w:rsidRPr="00765E53" w:rsidP="00DB34F0" w14:paraId="69252C6E" w14:textId="7F21BE37">
      <w:pPr>
        <w:pStyle w:val="FootnoteText"/>
      </w:pPr>
      <w:r w:rsidRPr="00765E53">
        <w:rPr>
          <w:rStyle w:val="FootnoteReference"/>
        </w:rPr>
        <w:footnoteRef/>
      </w:r>
      <w:r w:rsidRPr="00765E53">
        <w:t xml:space="preserve"> </w:t>
      </w:r>
      <w:r w:rsidRPr="00765E53">
        <w:rPr>
          <w:i/>
        </w:rPr>
        <w:t xml:space="preserve">See </w:t>
      </w:r>
      <w:r w:rsidRPr="00765E53">
        <w:rPr>
          <w:i/>
          <w:snapToGrid w:val="0"/>
        </w:rPr>
        <w:t>Consolidated Appropriations Act, 2018</w:t>
      </w:r>
      <w:r w:rsidRPr="00765E53">
        <w:rPr>
          <w:snapToGrid w:val="0"/>
        </w:rPr>
        <w:t>, Pub. L. No. 115-141, Div. P</w:t>
      </w:r>
      <w:r w:rsidRPr="00765E53">
        <w:t>—</w:t>
      </w:r>
      <w:r w:rsidRPr="00765E53">
        <w:rPr>
          <w:snapToGrid w:val="0"/>
        </w:rPr>
        <w:t>RAY BAUM’S Act of 2018, § 508(a)(1), 132 Stat. 348, 109</w:t>
      </w:r>
      <w:r>
        <w:rPr>
          <w:snapToGrid w:val="0"/>
        </w:rPr>
        <w:t>5-96</w:t>
      </w:r>
      <w:r w:rsidRPr="00765E53">
        <w:rPr>
          <w:snapToGrid w:val="0"/>
        </w:rPr>
        <w:t xml:space="preserve"> (2018) (RAY BAUM’S Act of 2018)</w:t>
      </w:r>
      <w:r w:rsidRPr="00765E53">
        <w:t>.</w:t>
      </w:r>
    </w:p>
  </w:footnote>
  <w:footnote w:id="4">
    <w:p w:rsidR="00CD5020" w:rsidRPr="005F16B3" w:rsidP="00DB34F0" w14:paraId="68AA9F2F" w14:textId="1C31D062">
      <w:pPr>
        <w:pStyle w:val="FootnoteText"/>
        <w:rPr>
          <w:i/>
        </w:rPr>
      </w:pPr>
      <w:r>
        <w:rPr>
          <w:rStyle w:val="FootnoteReference"/>
        </w:rPr>
        <w:footnoteRef/>
      </w:r>
      <w:r>
        <w:t xml:space="preserve"> </w:t>
      </w:r>
      <w:r>
        <w:rPr>
          <w:i/>
        </w:rPr>
        <w:t>Id.</w:t>
      </w:r>
    </w:p>
  </w:footnote>
  <w:footnote w:id="5">
    <w:p w:rsidR="00CD5020" w:rsidP="00E24900" w14:paraId="77FB0B4F" w14:textId="77777777">
      <w:pPr>
        <w:pStyle w:val="FootnoteText"/>
      </w:pPr>
      <w:r>
        <w:rPr>
          <w:rStyle w:val="FootnoteReference"/>
        </w:rPr>
        <w:footnoteRef/>
      </w:r>
      <w:r>
        <w:t xml:space="preserve"> </w:t>
      </w:r>
      <w:r>
        <w:rPr>
          <w:i/>
        </w:rPr>
        <w:t xml:space="preserve">See </w:t>
      </w:r>
      <w:r>
        <w:t xml:space="preserve">FCC, </w:t>
      </w:r>
      <w:r w:rsidRPr="002679D7">
        <w:rPr>
          <w:i/>
        </w:rPr>
        <w:t>Fixed Broadband Deployment Data from FCC Form 477</w:t>
      </w:r>
      <w:r>
        <w:t xml:space="preserve">, </w:t>
      </w:r>
      <w:r>
        <w:rPr>
          <w:i/>
        </w:rPr>
        <w:t>available at</w:t>
      </w:r>
      <w:r>
        <w:t xml:space="preserve"> </w:t>
      </w:r>
      <w:hyperlink r:id="rId1" w:history="1">
        <w:r w:rsidRPr="009F0172">
          <w:rPr>
            <w:rStyle w:val="Hyperlink"/>
          </w:rPr>
          <w:t>https://www.fcc.gov/general/broadband-deployment-data-fcc-form-477</w:t>
        </w:r>
      </w:hyperlink>
      <w:r>
        <w:t xml:space="preserve">; FCC, </w:t>
      </w:r>
      <w:r>
        <w:rPr>
          <w:i/>
        </w:rPr>
        <w:t>Mobile</w:t>
      </w:r>
      <w:r w:rsidRPr="002679D7">
        <w:rPr>
          <w:i/>
        </w:rPr>
        <w:t xml:space="preserve"> Deployment Form 477</w:t>
      </w:r>
      <w:r>
        <w:rPr>
          <w:i/>
        </w:rPr>
        <w:t xml:space="preserve"> Data</w:t>
      </w:r>
      <w:r>
        <w:t xml:space="preserve">, </w:t>
      </w:r>
      <w:r>
        <w:rPr>
          <w:i/>
        </w:rPr>
        <w:t>available at</w:t>
      </w:r>
      <w:r>
        <w:t xml:space="preserve"> </w:t>
      </w:r>
      <w:hyperlink r:id="rId2" w:history="1">
        <w:r w:rsidRPr="006838C3">
          <w:rPr>
            <w:rStyle w:val="Hyperlink"/>
          </w:rPr>
          <w:t>https://www.fcc.gov/mobile-deployment-form-477-data</w:t>
        </w:r>
      </w:hyperlink>
      <w:r>
        <w:rPr>
          <w:rStyle w:val="Hyperlink"/>
        </w:rPr>
        <w:t>.</w:t>
      </w:r>
      <w:r w:rsidRPr="004A2FAD">
        <w:t xml:space="preserve"> </w:t>
      </w:r>
      <w:r>
        <w:t xml:space="preserve"> </w:t>
      </w:r>
    </w:p>
  </w:footnote>
  <w:footnote w:id="6">
    <w:p w:rsidR="00CD5020" w:rsidP="00AA56B9" w14:paraId="71160E49" w14:textId="36024304">
      <w:pPr>
        <w:pStyle w:val="FootnoteText"/>
      </w:pPr>
      <w:r>
        <w:rPr>
          <w:rStyle w:val="FootnoteReference"/>
        </w:rPr>
        <w:footnoteRef/>
      </w:r>
      <w:r>
        <w:t xml:space="preserve"> </w:t>
      </w:r>
      <w:r w:rsidRPr="00444AC7">
        <w:rPr>
          <w:i/>
        </w:rPr>
        <w:t>Connect America Fund et al</w:t>
      </w:r>
      <w:r>
        <w:t>., Report and Order and Further Notice of Proposed Rulemaking, 26 FCC Rcd 17663, 17818-19, para. 479 (2011) (</w:t>
      </w:r>
      <w:r w:rsidRPr="00444AC7">
        <w:rPr>
          <w:i/>
        </w:rPr>
        <w:t>USF/ICC Transformation Order), aff’d sub nom, In re: FCC 11-161</w:t>
      </w:r>
      <w:r>
        <w:t>, 753 F.3d 1015 (10th Cir. 2014).</w:t>
      </w:r>
    </w:p>
  </w:footnote>
  <w:footnote w:id="7">
    <w:p w:rsidR="00CD5020" w:rsidRPr="00EB70C6" w14:paraId="40D559AF" w14:textId="29C9F98C">
      <w:pPr>
        <w:pStyle w:val="FootnoteText"/>
        <w:rPr>
          <w:i/>
        </w:rPr>
      </w:pPr>
      <w:r>
        <w:rPr>
          <w:rStyle w:val="FootnoteReference"/>
        </w:rPr>
        <w:footnoteRef/>
      </w:r>
      <w:r>
        <w:t xml:space="preserve"> </w:t>
      </w:r>
      <w:r>
        <w:rPr>
          <w:i/>
        </w:rPr>
        <w:t>See id.  See also</w:t>
      </w:r>
      <w:r>
        <w:t xml:space="preserve"> </w:t>
      </w:r>
      <w:r w:rsidRPr="0027077E">
        <w:rPr>
          <w:i/>
        </w:rPr>
        <w:t>Connect America Fund et al.</w:t>
      </w:r>
      <w:r w:rsidRPr="0027627B">
        <w:t>, Report and Order, Order and Order on Reconsideration,</w:t>
      </w:r>
      <w:r>
        <w:t xml:space="preserve"> and Further Notice of </w:t>
      </w:r>
      <w:r w:rsidRPr="00CF5012">
        <w:t>Proposed Rulemaking, 31 FCC Rcd 30</w:t>
      </w:r>
      <w:r>
        <w:t>87, 3224, paras. 368-69 (2016)</w:t>
      </w:r>
      <w:r w:rsidRPr="00CF5012">
        <w:t xml:space="preserve"> (</w:t>
      </w:r>
      <w:r>
        <w:rPr>
          <w:i/>
        </w:rPr>
        <w:t>Rate-of-Return Reform Order</w:t>
      </w:r>
      <w:r w:rsidRPr="00CF5012">
        <w:t>)</w:t>
      </w:r>
      <w:r>
        <w:t xml:space="preserve">; </w:t>
      </w:r>
      <w:r w:rsidRPr="00444AC7">
        <w:rPr>
          <w:i/>
        </w:rPr>
        <w:t>Connect America Fund</w:t>
      </w:r>
      <w:r>
        <w:t>, Report and Order, 33 FCC Rcd 3602, 3602-03, para. 2 (2018) (</w:t>
      </w:r>
      <w:r>
        <w:rPr>
          <w:i/>
        </w:rPr>
        <w:t>Tribal OpEx Relief Order</w:t>
      </w:r>
      <w:r>
        <w:t>).</w:t>
      </w:r>
    </w:p>
  </w:footnote>
  <w:footnote w:id="8">
    <w:p w:rsidR="00CD5020" w:rsidRPr="00ED6A5F" w14:paraId="5B4B3046" w14:textId="3C529913">
      <w:pPr>
        <w:pStyle w:val="FootnoteText"/>
      </w:pPr>
      <w:r>
        <w:rPr>
          <w:rStyle w:val="FootnoteReference"/>
        </w:rPr>
        <w:footnoteRef/>
      </w:r>
      <w:r>
        <w:t xml:space="preserve"> </w:t>
      </w:r>
      <w:r>
        <w:rPr>
          <w:i/>
        </w:rPr>
        <w:t>See Rate-of-Return Reform Order</w:t>
      </w:r>
      <w:r>
        <w:t xml:space="preserve">, </w:t>
      </w:r>
      <w:r w:rsidRPr="00CF5012">
        <w:t xml:space="preserve">31 FCC Rcd </w:t>
      </w:r>
      <w:r>
        <w:t xml:space="preserve">at 3224, paras. 368-69; </w:t>
      </w:r>
      <w:r>
        <w:rPr>
          <w:i/>
        </w:rPr>
        <w:t>Tribal OpEx Relief Order</w:t>
      </w:r>
      <w:r>
        <w:t>, 33 FCC Rcd at 3602-03, para. 2.</w:t>
      </w:r>
    </w:p>
  </w:footnote>
  <w:footnote w:id="9">
    <w:p w:rsidR="00CD5020" w:rsidRPr="00F76E47" w:rsidP="00DB34F0" w14:paraId="750F9A88" w14:textId="18D8380B">
      <w:pPr>
        <w:pStyle w:val="FootnoteText"/>
      </w:pPr>
      <w:r>
        <w:rPr>
          <w:rStyle w:val="FootnoteReference"/>
        </w:rPr>
        <w:footnoteRef/>
      </w:r>
      <w:r>
        <w:t xml:space="preserve"> </w:t>
      </w:r>
      <w:r>
        <w:rPr>
          <w:i/>
        </w:rPr>
        <w:t xml:space="preserve">See </w:t>
      </w:r>
      <w:r w:rsidRPr="00F76E47">
        <w:rPr>
          <w:i/>
        </w:rPr>
        <w:t>Establishing a Government-to-Government Relationship with Indian Tribes</w:t>
      </w:r>
      <w:r w:rsidRPr="00F76E47">
        <w:t>, Policy Statement, 16 FCC Rcd 4078 (2000).</w:t>
      </w:r>
    </w:p>
  </w:footnote>
  <w:footnote w:id="10">
    <w:p w:rsidR="00CD5020" w:rsidRPr="00CE6931" w14:paraId="43A61C78" w14:textId="7B9BC125">
      <w:pPr>
        <w:pStyle w:val="FootnoteText"/>
      </w:pPr>
      <w:r>
        <w:rPr>
          <w:rStyle w:val="FootnoteReference"/>
        </w:rPr>
        <w:footnoteRef/>
      </w:r>
      <w:r>
        <w:t xml:space="preserve"> </w:t>
      </w:r>
      <w:r>
        <w:rPr>
          <w:i/>
        </w:rPr>
        <w:t>Id.</w:t>
      </w:r>
      <w:r>
        <w:t xml:space="preserve"> at 4080-81. </w:t>
      </w:r>
    </w:p>
  </w:footnote>
  <w:footnote w:id="11">
    <w:p w:rsidR="00CD5020" w:rsidRPr="00ED2DCC" w14:paraId="7EDA16F3" w14:textId="12C84CF6">
      <w:pPr>
        <w:pStyle w:val="FootnoteText"/>
      </w:pPr>
      <w:r w:rsidRPr="00ED2DCC">
        <w:rPr>
          <w:rStyle w:val="FootnoteReference"/>
        </w:rPr>
        <w:footnoteRef/>
      </w:r>
      <w:r w:rsidRPr="00ED2DCC">
        <w:t xml:space="preserve"> </w:t>
      </w:r>
      <w:r w:rsidRPr="004C11B5">
        <w:rPr>
          <w:i/>
        </w:rPr>
        <w:t>See infra</w:t>
      </w:r>
      <w:r w:rsidRPr="00ED2DCC">
        <w:t xml:space="preserve"> p</w:t>
      </w:r>
      <w:r>
        <w:t>g</w:t>
      </w:r>
      <w:r w:rsidRPr="00ED2DCC">
        <w:t>s. 9-18.</w:t>
      </w:r>
    </w:p>
  </w:footnote>
  <w:footnote w:id="12">
    <w:p w:rsidR="00CD5020" w:rsidRPr="008A12A5" w14:paraId="19FA3059" w14:textId="0CFE8207">
      <w:pPr>
        <w:pStyle w:val="FootnoteText"/>
      </w:pPr>
      <w:r w:rsidRPr="00ED2DCC">
        <w:rPr>
          <w:rStyle w:val="FootnoteReference"/>
        </w:rPr>
        <w:footnoteRef/>
      </w:r>
      <w:r w:rsidRPr="00ED2DCC">
        <w:t xml:space="preserve"> </w:t>
      </w:r>
      <w:r w:rsidRPr="00ED2DCC">
        <w:rPr>
          <w:i/>
        </w:rPr>
        <w:t>See e.g.</w:t>
      </w:r>
      <w:r w:rsidRPr="00ED2DCC">
        <w:t xml:space="preserve">, </w:t>
      </w:r>
      <w:r w:rsidRPr="00ED2DCC">
        <w:rPr>
          <w:rStyle w:val="Emphasis"/>
          <w:color w:val="212121"/>
        </w:rPr>
        <w:t>Inquiry Concerning the Deployment of Advanced Telecommunications Capability to All Americans in a Reasonable and Timely</w:t>
      </w:r>
      <w:r w:rsidRPr="008A12A5">
        <w:rPr>
          <w:rStyle w:val="Emphasis"/>
          <w:color w:val="212121"/>
        </w:rPr>
        <w:t xml:space="preserve"> Fashion</w:t>
      </w:r>
      <w:r w:rsidRPr="008A12A5">
        <w:rPr>
          <w:color w:val="212121"/>
        </w:rPr>
        <w:t xml:space="preserve">, </w:t>
      </w:r>
      <w:r w:rsidRPr="008A12A5">
        <w:rPr>
          <w:rStyle w:val="Emphasis"/>
          <w:i w:val="0"/>
          <w:color w:val="212121"/>
        </w:rPr>
        <w:t>2018 Broadband Deployment Report</w:t>
      </w:r>
      <w:r w:rsidRPr="008A12A5">
        <w:rPr>
          <w:color w:val="212121"/>
        </w:rPr>
        <w:t>, 33 FCC Rcd 1660, 1708, para. 9</w:t>
      </w:r>
      <w:r>
        <w:rPr>
          <w:color w:val="212121"/>
        </w:rPr>
        <w:t>6</w:t>
      </w:r>
      <w:r w:rsidRPr="008A12A5">
        <w:rPr>
          <w:color w:val="212121"/>
        </w:rPr>
        <w:t xml:space="preserve"> (2018)</w:t>
      </w:r>
      <w:r>
        <w:rPr>
          <w:color w:val="212121"/>
        </w:rPr>
        <w:t>.</w:t>
      </w:r>
    </w:p>
  </w:footnote>
  <w:footnote w:id="13">
    <w:p w:rsidR="00CD5020" w:rsidRPr="00F82A4F" w14:paraId="37F2FA3A" w14:textId="4551C315">
      <w:pPr>
        <w:pStyle w:val="FootnoteText"/>
      </w:pPr>
      <w:r>
        <w:rPr>
          <w:rStyle w:val="FootnoteReference"/>
        </w:rPr>
        <w:footnoteRef/>
      </w:r>
      <w:r>
        <w:t xml:space="preserve"> </w:t>
      </w:r>
      <w:r>
        <w:rPr>
          <w:i/>
        </w:rPr>
        <w:t>See e.g.</w:t>
      </w:r>
      <w:r>
        <w:t xml:space="preserve">, </w:t>
      </w:r>
      <w:r>
        <w:rPr>
          <w:i/>
        </w:rPr>
        <w:t>Accelerating Wireline Broadband Deployment by Removing Barriers to Infrastructure Investment</w:t>
      </w:r>
      <w:r>
        <w:t xml:space="preserve">, 32 FCC Rcd 3266 (2017); </w:t>
      </w:r>
      <w:r w:rsidRPr="00F82A4F">
        <w:rPr>
          <w:i/>
        </w:rPr>
        <w:t>Accelerating Wireless Deployment by Removing Barriers to Infrastructure Investment, Report and Order</w:t>
      </w:r>
      <w:r>
        <w:t xml:space="preserve">, 32 FCC Rcd 9760 (2017).  </w:t>
      </w:r>
    </w:p>
  </w:footnote>
  <w:footnote w:id="14">
    <w:p w:rsidR="00CD5020" w14:paraId="592FFDE5" w14:textId="03C3FA67">
      <w:pPr>
        <w:pStyle w:val="FootnoteText"/>
      </w:pPr>
      <w:r>
        <w:rPr>
          <w:rStyle w:val="FootnoteReference"/>
        </w:rPr>
        <w:footnoteRef/>
      </w:r>
      <w:r>
        <w:t xml:space="preserve"> </w:t>
      </w:r>
      <w:r w:rsidRPr="004003FD">
        <w:rPr>
          <w:i/>
        </w:rPr>
        <w:t>Connect America Fund et al</w:t>
      </w:r>
      <w:r>
        <w:t xml:space="preserve">., Report and Order and Further Notice of Proposed Rulemaking, 31 FCC Rcd 5949, 5959, para. 24 (2016); </w:t>
      </w:r>
      <w:r w:rsidRPr="00E546AB">
        <w:rPr>
          <w:i/>
        </w:rPr>
        <w:t>Connect America Fund et al</w:t>
      </w:r>
      <w:r>
        <w:t xml:space="preserve">., Report and Order et al., 31 FCC Rcd 3087, 3097-98, para. 25 (2016); </w:t>
      </w:r>
      <w:r>
        <w:rPr>
          <w:i/>
        </w:rPr>
        <w:t xml:space="preserve">See Connect America Fund, et al. </w:t>
      </w:r>
      <w:r>
        <w:t>Report and Order, Further Notice of Proposed Rulemaking, and Order on Reconsideration, FCC 18-176, para. 3 (2018) (</w:t>
      </w:r>
      <w:r w:rsidRPr="00B90DE2">
        <w:rPr>
          <w:i/>
        </w:rPr>
        <w:t>December 2018 Rate-of-Return Order</w:t>
      </w:r>
      <w:r>
        <w:t>).</w:t>
      </w:r>
    </w:p>
  </w:footnote>
  <w:footnote w:id="15">
    <w:p w:rsidR="00CD5020" w14:paraId="139F5F95" w14:textId="196C2573">
      <w:pPr>
        <w:pStyle w:val="FootnoteText"/>
      </w:pPr>
      <w:r>
        <w:rPr>
          <w:rStyle w:val="FootnoteReference"/>
        </w:rPr>
        <w:footnoteRef/>
      </w:r>
      <w:r>
        <w:t xml:space="preserve"> </w:t>
      </w:r>
      <w:r w:rsidRPr="00F13ED2">
        <w:rPr>
          <w:szCs w:val="24"/>
        </w:rPr>
        <w:t xml:space="preserve">The semi-annual </w:t>
      </w:r>
      <w:r>
        <w:rPr>
          <w:szCs w:val="24"/>
        </w:rPr>
        <w:t xml:space="preserve">FCC </w:t>
      </w:r>
      <w:r w:rsidRPr="00F13ED2">
        <w:rPr>
          <w:szCs w:val="24"/>
        </w:rPr>
        <w:t xml:space="preserve">Form 477 collection currently does not have a formal challenge process as the collection is designed for providers of voice and broadband service to report where they can reasonably provide service upon a request from a customer. </w:t>
      </w:r>
      <w:r>
        <w:rPr>
          <w:szCs w:val="24"/>
        </w:rPr>
        <w:t xml:space="preserve"> </w:t>
      </w:r>
    </w:p>
  </w:footnote>
  <w:footnote w:id="16">
    <w:p w:rsidR="00CD5020" w:rsidRPr="002518FA" w:rsidP="007F64CB" w14:paraId="278A94FD" w14:textId="620BADBC">
      <w:pPr>
        <w:pStyle w:val="FootnoteText"/>
      </w:pPr>
      <w:r>
        <w:rPr>
          <w:rStyle w:val="FootnoteReference"/>
        </w:rPr>
        <w:footnoteRef/>
      </w:r>
      <w:r>
        <w:t xml:space="preserve"> </w:t>
      </w:r>
      <w:r w:rsidRPr="00FA6FE8">
        <w:rPr>
          <w:i/>
        </w:rPr>
        <w:t>See Inquiry Concerning Deployment of Advanced Telecommunications Capability to All Americans in a Reasonable and Timely Fashion</w:t>
      </w:r>
      <w:r>
        <w:t xml:space="preserve">, 2018 Broadband Deployment Report, 33 FCC Rcd 1660 (2018).  </w:t>
      </w:r>
      <w:r>
        <w:rPr>
          <w:i/>
        </w:rPr>
        <w:t xml:space="preserve">See also </w:t>
      </w:r>
      <w:bookmarkStart w:id="10" w:name="_Hlk4152797"/>
      <w:r>
        <w:t>FCC</w:t>
      </w:r>
      <w:bookmarkEnd w:id="10"/>
      <w:r w:rsidRPr="00F82A4F">
        <w:t xml:space="preserve"> Wireline Competition Bureau</w:t>
      </w:r>
      <w:r>
        <w:t xml:space="preserve">, </w:t>
      </w:r>
      <w:r>
        <w:rPr>
          <w:i/>
        </w:rPr>
        <w:t>Staff Block Estimates</w:t>
      </w:r>
      <w:r>
        <w:t xml:space="preserve">, </w:t>
      </w:r>
      <w:r>
        <w:rPr>
          <w:i/>
        </w:rPr>
        <w:t>available at</w:t>
      </w:r>
      <w:r>
        <w:t xml:space="preserve"> </w:t>
      </w:r>
      <w:hyperlink r:id="rId3" w:history="1">
        <w:r w:rsidRPr="006838C3">
          <w:rPr>
            <w:rStyle w:val="Hyperlink"/>
          </w:rPr>
          <w:t>https://www.fcc.gov/reports-research/data/staff-block-estimates</w:t>
        </w:r>
      </w:hyperlink>
      <w:r>
        <w:rPr>
          <w:rStyle w:val="Hyperlink"/>
        </w:rPr>
        <w:t xml:space="preserve">. </w:t>
      </w:r>
    </w:p>
  </w:footnote>
  <w:footnote w:id="17">
    <w:p w:rsidR="00CD5020" w14:paraId="272D682A" w14:textId="4DE232E5">
      <w:pPr>
        <w:pStyle w:val="FootnoteText"/>
      </w:pPr>
      <w:r>
        <w:rPr>
          <w:rStyle w:val="FootnoteReference"/>
        </w:rPr>
        <w:footnoteRef/>
      </w:r>
      <w:r>
        <w:t xml:space="preserve"> </w:t>
      </w:r>
      <w:r>
        <w:rPr>
          <w:i/>
        </w:rPr>
        <w:t xml:space="preserve">See </w:t>
      </w:r>
      <w:r>
        <w:t xml:space="preserve">FCC, </w:t>
      </w:r>
      <w:r w:rsidRPr="002679D7">
        <w:rPr>
          <w:i/>
        </w:rPr>
        <w:t>Fixed Broadband Deployment Data from FCC Form 477</w:t>
      </w:r>
      <w:r>
        <w:t xml:space="preserve">, </w:t>
      </w:r>
      <w:r>
        <w:rPr>
          <w:i/>
        </w:rPr>
        <w:t>available at</w:t>
      </w:r>
      <w:r>
        <w:t xml:space="preserve"> </w:t>
      </w:r>
      <w:hyperlink r:id="rId1" w:history="1">
        <w:r w:rsidRPr="009F0172">
          <w:rPr>
            <w:rStyle w:val="Hyperlink"/>
          </w:rPr>
          <w:t>https://www.fcc.gov/general/broadband-deployment-data-fcc-form-477</w:t>
        </w:r>
      </w:hyperlink>
      <w:r>
        <w:t xml:space="preserve">.  </w:t>
      </w:r>
    </w:p>
  </w:footnote>
  <w:footnote w:id="18">
    <w:p w:rsidR="00CD5020" w:rsidRPr="002D0952" w:rsidP="002679D7" w14:paraId="0B287A5B" w14:textId="729C7CF8">
      <w:pPr>
        <w:pStyle w:val="FootnoteText"/>
      </w:pPr>
      <w:r>
        <w:rPr>
          <w:rStyle w:val="FootnoteReference"/>
        </w:rPr>
        <w:footnoteRef/>
      </w:r>
      <w:r>
        <w:t xml:space="preserve"> </w:t>
      </w:r>
      <w:r>
        <w:rPr>
          <w:i/>
        </w:rPr>
        <w:t xml:space="preserve">See </w:t>
      </w:r>
      <w:r>
        <w:t xml:space="preserve">FCC, </w:t>
      </w:r>
      <w:r>
        <w:rPr>
          <w:i/>
        </w:rPr>
        <w:t>Mobile</w:t>
      </w:r>
      <w:r w:rsidRPr="002679D7">
        <w:rPr>
          <w:i/>
        </w:rPr>
        <w:t xml:space="preserve"> Deployment Form 477</w:t>
      </w:r>
      <w:r>
        <w:rPr>
          <w:i/>
        </w:rPr>
        <w:t xml:space="preserve"> Data</w:t>
      </w:r>
      <w:r>
        <w:t xml:space="preserve">, </w:t>
      </w:r>
      <w:r>
        <w:rPr>
          <w:i/>
        </w:rPr>
        <w:t>available at</w:t>
      </w:r>
      <w:r>
        <w:t xml:space="preserve"> </w:t>
      </w:r>
      <w:hyperlink r:id="rId2" w:history="1">
        <w:r w:rsidRPr="006838C3">
          <w:rPr>
            <w:rStyle w:val="Hyperlink"/>
          </w:rPr>
          <w:t>https://www.fcc.gov/mobile-deployment-form-477-data</w:t>
        </w:r>
      </w:hyperlink>
      <w:r>
        <w:rPr>
          <w:rStyle w:val="Hyperlink"/>
        </w:rPr>
        <w:t>.</w:t>
      </w:r>
      <w:r w:rsidRPr="004A2FAD">
        <w:t xml:space="preserve"> </w:t>
      </w:r>
      <w:r>
        <w:t xml:space="preserve"> </w:t>
      </w:r>
      <w:r w:rsidRPr="000D2C96">
        <w:t xml:space="preserve">The centroid methodology overlays geographic polygons showing wireless coverage onto a map of census blocks.  It codes a census block as “covered” if the calculated center point (the “centroid”) of the census block is within the coverage polygon.  If a centroid is covered, then </w:t>
      </w:r>
      <w:r w:rsidRPr="000D2C96">
        <w:t>all of</w:t>
      </w:r>
      <w:r w:rsidRPr="000D2C96">
        <w:t xml:space="preserve"> the population and land area in the corresponding census block is also coded as covered.  </w:t>
      </w:r>
      <w:r w:rsidRPr="000D2C96">
        <w:rPr>
          <w:i/>
        </w:rPr>
        <w:t>See FCC Releases Data on Mobile Broadband Deployment as of December 31, 2015 Collected Through FCC Form 477</w:t>
      </w:r>
      <w:r w:rsidRPr="000D2C96">
        <w:t>, 31 FCC Rcd 10886, 10890 (2016).</w:t>
      </w:r>
    </w:p>
  </w:footnote>
  <w:footnote w:id="19">
    <w:p w:rsidR="00CD5020" w14:paraId="51A4FA8A" w14:textId="3C1C4D20">
      <w:pPr>
        <w:pStyle w:val="FootnoteText"/>
      </w:pPr>
      <w:r>
        <w:rPr>
          <w:rStyle w:val="FootnoteReference"/>
        </w:rPr>
        <w:footnoteRef/>
      </w:r>
      <w:r>
        <w:t xml:space="preserve"> Staff also determined the road length associated with each block using a geography calculation rather than a projection, with distances measured in meters.  Road lengths shared between two census blocks were split between blocks so that the total length of roads did not change.  The</w:t>
      </w:r>
      <w:r w:rsidRPr="002679D7">
        <w:t xml:space="preserve"> analysis focused on road types (</w:t>
      </w:r>
      <w:r w:rsidRPr="002679D7">
        <w:rPr>
          <w:shd w:val="clear" w:color="auto" w:fill="FFFFFF"/>
        </w:rPr>
        <w:t>MAF/TIGER Feature Class Codes</w:t>
      </w:r>
      <w:r w:rsidRPr="002679D7">
        <w:t xml:space="preserve">) of S1400, S1200, and S1740.  </w:t>
      </w:r>
    </w:p>
  </w:footnote>
  <w:footnote w:id="20">
    <w:p w:rsidR="00CD5020" w:rsidRPr="006456FB" w:rsidP="006456FB" w14:paraId="49ABAD64" w14:textId="193EAAA6">
      <w:pPr>
        <w:spacing w:after="120"/>
        <w:rPr>
          <w:sz w:val="20"/>
        </w:rPr>
      </w:pPr>
      <w:r w:rsidRPr="006456FB">
        <w:rPr>
          <w:rStyle w:val="FootnoteReference"/>
        </w:rPr>
        <w:footnoteRef/>
      </w:r>
      <w:r w:rsidRPr="006456FB">
        <w:rPr>
          <w:sz w:val="20"/>
        </w:rPr>
        <w:t xml:space="preserve"> Our </w:t>
      </w:r>
      <w:r w:rsidRPr="0076136B">
        <w:rPr>
          <w:sz w:val="20"/>
        </w:rPr>
        <w:t xml:space="preserve">assessment of Tribal lands is conducted by examining the census blocks that have been identified by the Census Bureau as federally recognized Tribal lands for the 2010 Census.  </w:t>
      </w:r>
      <w:r w:rsidRPr="0076136B">
        <w:rPr>
          <w:i/>
          <w:sz w:val="20"/>
        </w:rPr>
        <w:t>See Communications Marketplace Report</w:t>
      </w:r>
      <w:r w:rsidRPr="0076136B">
        <w:rPr>
          <w:sz w:val="20"/>
        </w:rPr>
        <w:t>, FCC 18-181 at 97 n.598.</w:t>
      </w:r>
      <w:r>
        <w:t xml:space="preserve"> </w:t>
      </w:r>
      <w:r w:rsidRPr="006456FB">
        <w:rPr>
          <w:sz w:val="20"/>
        </w:rPr>
        <w:t xml:space="preserve"> </w:t>
      </w:r>
    </w:p>
  </w:footnote>
  <w:footnote w:id="21">
    <w:p w:rsidR="00CD5020" w:rsidRPr="0014785D" w14:paraId="35383A80" w14:textId="0ACEEF53">
      <w:pPr>
        <w:pStyle w:val="FootnoteText"/>
        <w:rPr>
          <w:i/>
        </w:rPr>
      </w:pPr>
      <w:r>
        <w:rPr>
          <w:rStyle w:val="FootnoteReference"/>
        </w:rPr>
        <w:footnoteRef/>
      </w:r>
      <w:r>
        <w:t xml:space="preserve"> Though staff examine FCC Form 477 data for quality and consistency, the data may understate or overstate deployment of services to the extent that broadband providers fail to report data or misreport data.  </w:t>
      </w:r>
      <w:r>
        <w:rPr>
          <w:i/>
        </w:rPr>
        <w:t xml:space="preserve">See </w:t>
      </w:r>
      <w:r>
        <w:t xml:space="preserve">FCC, </w:t>
      </w:r>
      <w:r w:rsidRPr="0014785D">
        <w:rPr>
          <w:i/>
        </w:rPr>
        <w:t>Explanation of Broadband Deployment Data</w:t>
      </w:r>
      <w:r>
        <w:t xml:space="preserve"> (Nov. 20, 2017), </w:t>
      </w:r>
      <w:hyperlink r:id="rId4" w:history="1">
        <w:r w:rsidRPr="000D7DBE">
          <w:rPr>
            <w:rStyle w:val="Hyperlink"/>
          </w:rPr>
          <w:t>https://www.fcc.gov/general/explanation-broadband-deployment-data</w:t>
        </w:r>
      </w:hyperlink>
      <w:r>
        <w:t xml:space="preserve"> (describing quality and consistency checks performed on providers’ submitted data and explaining any adjustments made to the Form 477 data as filed).</w:t>
      </w:r>
    </w:p>
  </w:footnote>
  <w:footnote w:id="22">
    <w:p w:rsidR="00CD5020" w:rsidRPr="007D3A74" w:rsidP="00FE12EA" w14:paraId="126F5721" w14:textId="08F87D30">
      <w:pPr>
        <w:pStyle w:val="FootnoteText"/>
      </w:pPr>
      <w:r>
        <w:rPr>
          <w:rStyle w:val="FootnoteReference"/>
        </w:rPr>
        <w:footnoteRef/>
      </w:r>
      <w:r>
        <w:t xml:space="preserve"> </w:t>
      </w:r>
      <w:r>
        <w:rPr>
          <w:i/>
        </w:rPr>
        <w:t>Modernizing the FCC Form 477 Data Program</w:t>
      </w:r>
      <w:r>
        <w:t>, Further Notice of Proposed Rulemaking, 32 FCC Rcd 6329 (2017).</w:t>
      </w:r>
    </w:p>
  </w:footnote>
  <w:footnote w:id="23">
    <w:p w:rsidR="00CD5020" w:rsidRPr="00B92448" w14:paraId="178F8BDA" w14:textId="18B7FEEA">
      <w:pPr>
        <w:pStyle w:val="FootnoteText"/>
      </w:pPr>
      <w:r>
        <w:rPr>
          <w:rStyle w:val="FootnoteReference"/>
        </w:rPr>
        <w:footnoteRef/>
      </w:r>
      <w:r>
        <w:t xml:space="preserve"> </w:t>
      </w:r>
      <w:r>
        <w:rPr>
          <w:i/>
        </w:rPr>
        <w:t xml:space="preserve">Id. </w:t>
      </w:r>
      <w:r>
        <w:t xml:space="preserve">at 6344, para. 44. </w:t>
      </w:r>
    </w:p>
  </w:footnote>
  <w:footnote w:id="24">
    <w:p w:rsidR="00CD5020" w:rsidP="00E37ACD" w14:paraId="5524ACB7" w14:textId="77777777">
      <w:pPr>
        <w:pStyle w:val="FootnoteText"/>
      </w:pPr>
      <w:r>
        <w:rPr>
          <w:rStyle w:val="FootnoteReference"/>
        </w:rPr>
        <w:footnoteRef/>
      </w:r>
      <w:r>
        <w:t xml:space="preserve"> </w:t>
      </w:r>
      <w:r w:rsidRPr="00765E53">
        <w:rPr>
          <w:snapToGrid w:val="0"/>
        </w:rPr>
        <w:t>RAY BAUM’S Act of 2018</w:t>
      </w:r>
      <w:r>
        <w:rPr>
          <w:snapToGrid w:val="0"/>
        </w:rPr>
        <w:t xml:space="preserve"> </w:t>
      </w:r>
      <w:r w:rsidRPr="00765E53">
        <w:rPr>
          <w:snapToGrid w:val="0"/>
        </w:rPr>
        <w:t>§ 508(</w:t>
      </w:r>
      <w:r>
        <w:rPr>
          <w:snapToGrid w:val="0"/>
        </w:rPr>
        <w:t>b</w:t>
      </w:r>
      <w:r w:rsidRPr="00765E53">
        <w:rPr>
          <w:snapToGrid w:val="0"/>
        </w:rPr>
        <w:t xml:space="preserve">), 132 Stat. </w:t>
      </w:r>
      <w:r>
        <w:rPr>
          <w:snapToGrid w:val="0"/>
        </w:rPr>
        <w:t>at 1096</w:t>
      </w:r>
      <w:r w:rsidRPr="00765E53">
        <w:t>.</w:t>
      </w:r>
    </w:p>
  </w:footnote>
  <w:footnote w:id="25">
    <w:p w:rsidR="00CD5020" w:rsidRPr="00D11E76" w:rsidP="006901FB" w14:paraId="453AE831" w14:textId="77777777">
      <w:pPr>
        <w:pStyle w:val="FootnoteText"/>
      </w:pPr>
      <w:r>
        <w:rPr>
          <w:rStyle w:val="FootnoteReference"/>
        </w:rPr>
        <w:footnoteRef/>
      </w:r>
      <w:r>
        <w:t xml:space="preserve"> As defined by the U.S. Census Bureau, a “housing unit” includes “a house, an apartment, a group of rooms, or a single room occupied or intended for occupancy as separate living quarters.”  </w:t>
      </w:r>
      <w:r>
        <w:rPr>
          <w:i/>
        </w:rPr>
        <w:t xml:space="preserve">See </w:t>
      </w:r>
      <w:r>
        <w:t xml:space="preserve">United States Census Bureau, </w:t>
      </w:r>
      <w:r>
        <w:rPr>
          <w:i/>
        </w:rPr>
        <w:t>Housing Vacancies and Home Ownership: Definitions</w:t>
      </w:r>
      <w:r>
        <w:t xml:space="preserve">, </w:t>
      </w:r>
      <w:hyperlink r:id="rId5" w:history="1">
        <w:r w:rsidRPr="00074337">
          <w:rPr>
            <w:rStyle w:val="Hyperlink"/>
          </w:rPr>
          <w:t>https://www.census.gov/housing/hvs/definitions.pdf</w:t>
        </w:r>
      </w:hyperlink>
      <w:r>
        <w:t xml:space="preserve"> (Fourth Quarter 2018). </w:t>
      </w:r>
    </w:p>
  </w:footnote>
  <w:footnote w:id="26">
    <w:p w:rsidR="00CD5020" w:rsidRPr="00D9453A" w:rsidP="00DB34F0" w14:paraId="7C674EAB" w14:textId="740EA34A">
      <w:pPr>
        <w:pStyle w:val="FootnoteText"/>
      </w:pPr>
      <w:r>
        <w:rPr>
          <w:rStyle w:val="FootnoteReference"/>
        </w:rPr>
        <w:footnoteRef/>
      </w:r>
      <w:r>
        <w:t xml:space="preserve"> </w:t>
      </w:r>
      <w:r w:rsidRPr="00B05577">
        <w:rPr>
          <w:i/>
        </w:rPr>
        <w:t>USF/ICC Transformation Order</w:t>
      </w:r>
      <w:r>
        <w:t xml:space="preserve">, 26 FCC Rcd at 17820, para. 482.; </w:t>
      </w:r>
      <w:r>
        <w:rPr>
          <w:i/>
        </w:rPr>
        <w:t>Tribal OpEx Relief Order,</w:t>
      </w:r>
      <w:r>
        <w:t xml:space="preserve"> 33 FCC Rcd at 3602, para. 1.</w:t>
      </w:r>
    </w:p>
  </w:footnote>
  <w:footnote w:id="27">
    <w:p w:rsidR="00CD5020" w:rsidP="00DB34F0" w14:paraId="59346D12" w14:textId="77777777">
      <w:pPr>
        <w:pStyle w:val="FootnoteText"/>
      </w:pPr>
      <w:r>
        <w:rPr>
          <w:rStyle w:val="FootnoteReference"/>
        </w:rPr>
        <w:footnoteRef/>
      </w:r>
      <w:r>
        <w:t xml:space="preserve"> Press Release, FCC, </w:t>
      </w:r>
      <w:r w:rsidRPr="00F7463F">
        <w:rPr>
          <w:i/>
        </w:rPr>
        <w:t>Carriers Accept Over $1.5 Billion in Annual Support from Connect America Fund to Expand and Support Broadband for Nearly 7.3 Million Rural Consumers in 45 States and One Territory</w:t>
      </w:r>
      <w:r>
        <w:t xml:space="preserve"> (Aug. 27, 2015),</w:t>
      </w:r>
      <w:r w:rsidRPr="00A7105C">
        <w:t xml:space="preserve"> </w:t>
      </w:r>
      <w:hyperlink r:id="rId6" w:history="1">
        <w:r w:rsidRPr="00625882">
          <w:rPr>
            <w:rStyle w:val="Hyperlink"/>
          </w:rPr>
          <w:t>https://www.fcc.gov/document/carriers-accept-over-15-b-support-expand-rural-broadband</w:t>
        </w:r>
      </w:hyperlink>
      <w:r>
        <w:t>.</w:t>
      </w:r>
    </w:p>
  </w:footnote>
  <w:footnote w:id="28">
    <w:p w:rsidR="00CD5020" w:rsidRPr="00BA5F18" w:rsidP="00DB34F0" w14:paraId="4B493530" w14:textId="77777777">
      <w:pPr>
        <w:pStyle w:val="FootnoteText"/>
      </w:pPr>
      <w:r>
        <w:rPr>
          <w:rStyle w:val="FootnoteReference"/>
        </w:rPr>
        <w:footnoteRef/>
      </w:r>
      <w:r>
        <w:t xml:space="preserve"> </w:t>
      </w:r>
      <w:r>
        <w:rPr>
          <w:i/>
        </w:rPr>
        <w:t>Id.</w:t>
      </w:r>
    </w:p>
  </w:footnote>
  <w:footnote w:id="29">
    <w:p w:rsidR="00CD5020" w:rsidRPr="0018240E" w:rsidP="00DB34F0" w14:paraId="6ED82C8E" w14:textId="490811AA">
      <w:pPr>
        <w:pStyle w:val="FootnoteText"/>
      </w:pPr>
      <w:r>
        <w:rPr>
          <w:rStyle w:val="FootnoteReference"/>
        </w:rPr>
        <w:footnoteRef/>
      </w:r>
      <w:r>
        <w:t xml:space="preserve"> </w:t>
      </w:r>
      <w:r>
        <w:rPr>
          <w:i/>
        </w:rPr>
        <w:t>Connect America Fund, et al.</w:t>
      </w:r>
      <w:r>
        <w:t>, Report and Order and Order on Reconsideration, 32 FCC Rcd. 1624, 1645 para. 52 (2017).</w:t>
      </w:r>
    </w:p>
  </w:footnote>
  <w:footnote w:id="30">
    <w:p w:rsidR="00CD5020" w:rsidRPr="00C7613C" w:rsidP="000B2B08" w14:paraId="496DD9FA" w14:textId="7939BD93">
      <w:pPr>
        <w:pStyle w:val="FootnoteText"/>
      </w:pPr>
      <w:r>
        <w:rPr>
          <w:rStyle w:val="FootnoteReference"/>
        </w:rPr>
        <w:footnoteRef/>
      </w:r>
      <w:r>
        <w:t xml:space="preserve"> </w:t>
      </w:r>
      <w:r>
        <w:rPr>
          <w:i/>
        </w:rPr>
        <w:t>Tribal OpEx Relief Order,</w:t>
      </w:r>
      <w:r>
        <w:t xml:space="preserve"> 33 FCC Rcd at 3603-04, para. 5.</w:t>
      </w:r>
    </w:p>
  </w:footnote>
  <w:footnote w:id="31">
    <w:p w:rsidR="00CD5020" w14:paraId="67ECDA33" w14:textId="1096F83F">
      <w:pPr>
        <w:pStyle w:val="FootnoteText"/>
      </w:pPr>
      <w:r>
        <w:rPr>
          <w:rStyle w:val="FootnoteReference"/>
        </w:rPr>
        <w:footnoteRef/>
      </w:r>
      <w:r>
        <w:t xml:space="preserve"> </w:t>
      </w:r>
      <w:r>
        <w:rPr>
          <w:i/>
        </w:rPr>
        <w:t xml:space="preserve">See </w:t>
      </w:r>
      <w:r w:rsidRPr="00B90DE2">
        <w:rPr>
          <w:i/>
        </w:rPr>
        <w:t>December 2018 Rate-of-Return Order</w:t>
      </w:r>
      <w:r>
        <w:t xml:space="preserve"> at para. 14.</w:t>
      </w:r>
    </w:p>
  </w:footnote>
  <w:footnote w:id="32">
    <w:p w:rsidR="00CD5020" w:rsidP="00A475E7" w14:paraId="2A00569A" w14:textId="2B416707">
      <w:pPr>
        <w:pStyle w:val="FootnoteText"/>
      </w:pPr>
      <w:r>
        <w:rPr>
          <w:rStyle w:val="FootnoteReference"/>
        </w:rPr>
        <w:footnoteRef/>
      </w:r>
      <w:r>
        <w:t xml:space="preserve"> </w:t>
      </w:r>
      <w:r>
        <w:rPr>
          <w:i/>
        </w:rPr>
        <w:t>Id.</w:t>
      </w:r>
      <w:r>
        <w:t xml:space="preserve"> at para. 55.</w:t>
      </w:r>
    </w:p>
  </w:footnote>
  <w:footnote w:id="33">
    <w:p w:rsidR="00CD5020" w14:paraId="540ADF19" w14:textId="0D02A0D7">
      <w:pPr>
        <w:pStyle w:val="FootnoteText"/>
      </w:pPr>
      <w:r>
        <w:rPr>
          <w:rStyle w:val="FootnoteReference"/>
        </w:rPr>
        <w:footnoteRef/>
      </w:r>
      <w:r>
        <w:t xml:space="preserve"> </w:t>
      </w:r>
      <w:r>
        <w:rPr>
          <w:i/>
        </w:rPr>
        <w:t>Id.</w:t>
      </w:r>
    </w:p>
  </w:footnote>
  <w:footnote w:id="34">
    <w:p w:rsidR="00CD5020" w:rsidP="000B2B08" w14:paraId="5D5C0C1C" w14:textId="428086F0">
      <w:pPr>
        <w:pStyle w:val="FootnoteText"/>
      </w:pPr>
      <w:r>
        <w:rPr>
          <w:rStyle w:val="FootnoteReference"/>
        </w:rPr>
        <w:footnoteRef/>
      </w:r>
      <w:r>
        <w:t xml:space="preserve"> </w:t>
      </w:r>
      <w:r>
        <w:rPr>
          <w:i/>
        </w:rPr>
        <w:t>Id.</w:t>
      </w:r>
      <w:r>
        <w:t xml:space="preserve"> at paras. 206-09.</w:t>
      </w:r>
    </w:p>
  </w:footnote>
  <w:footnote w:id="35">
    <w:p w:rsidR="00CD5020" w:rsidRPr="00614EEC" w14:paraId="3EC25DAF" w14:textId="1723C320">
      <w:pPr>
        <w:pStyle w:val="FootnoteText"/>
      </w:pPr>
      <w:r>
        <w:rPr>
          <w:rStyle w:val="FootnoteReference"/>
        </w:rPr>
        <w:footnoteRef/>
      </w:r>
      <w:r>
        <w:t xml:space="preserve"> </w:t>
      </w:r>
      <w:r>
        <w:rPr>
          <w:i/>
        </w:rPr>
        <w:t>Tribal Mobility Fund Phase I Auction Closes, Winning Bidders Announced for Auction 902</w:t>
      </w:r>
      <w:r>
        <w:t>, 29 FCC Rcd 1974, 1975, para. 1 (2014).</w:t>
      </w:r>
    </w:p>
  </w:footnote>
  <w:footnote w:id="36">
    <w:p w:rsidR="00CD5020" w14:paraId="5E34ED84" w14:textId="16E43C8F">
      <w:pPr>
        <w:pStyle w:val="FootnoteText"/>
      </w:pPr>
      <w:r>
        <w:rPr>
          <w:rStyle w:val="FootnoteReference"/>
        </w:rPr>
        <w:footnoteRef/>
      </w:r>
      <w:r>
        <w:t xml:space="preserve"> </w:t>
      </w:r>
      <w:r w:rsidRPr="00722026">
        <w:t>In addition to support awarded through the Tribal Mobility Fund Phase I auction, some winning bidders in Mobility Fund Phase I Auction 901 received support to deploy mobile voice and broadband services on Tribal lands.</w:t>
      </w:r>
      <w:r>
        <w:t xml:space="preserve"> </w:t>
      </w:r>
      <w:r w:rsidRPr="00722026">
        <w:t xml:space="preserve"> For example, GCI Communication Corp. was an Auction 901 winning bidder authorized to receive up to $2.3 million in Mobility Fund Phase I support. </w:t>
      </w:r>
      <w:r>
        <w:t xml:space="preserve"> </w:t>
      </w:r>
      <w:r w:rsidRPr="00722026">
        <w:t>The full amount of that support has been disbursed.  Standing Rock Telecommunications, Inc., also was a winning bidder in Auction 901 and was authorized to receive up to $3.3</w:t>
      </w:r>
      <w:r>
        <w:t xml:space="preserve"> million</w:t>
      </w:r>
      <w:r w:rsidRPr="00722026">
        <w:t xml:space="preserve"> in Mobility Fund Phase I support, $2.2 million of which has been disbursed to date.</w:t>
      </w:r>
    </w:p>
  </w:footnote>
  <w:footnote w:id="37">
    <w:p w:rsidR="00CD5020" w:rsidP="0034595D" w14:paraId="4F9BFAC9" w14:textId="77777777">
      <w:pPr>
        <w:pStyle w:val="FootnoteText"/>
      </w:pPr>
      <w:r>
        <w:rPr>
          <w:rStyle w:val="FootnoteReference"/>
          <w:rFonts w:eastAsia="Symbol"/>
        </w:rPr>
        <w:footnoteRef/>
      </w:r>
      <w:r>
        <w:t xml:space="preserve"> </w:t>
      </w:r>
      <w:r w:rsidRPr="00395ADA">
        <w:rPr>
          <w:i/>
        </w:rPr>
        <w:t>Connect America Fund et al</w:t>
      </w:r>
      <w:r>
        <w:t xml:space="preserve">., Report and Order and Further Notice of Proposed Rulemaking, 32 FCC Rcd 2152 at 2165, para. 33 (2017). </w:t>
      </w:r>
    </w:p>
  </w:footnote>
  <w:footnote w:id="38">
    <w:p w:rsidR="00CD5020" w:rsidP="00446963" w14:paraId="225CE458" w14:textId="72B2847F">
      <w:pPr>
        <w:pStyle w:val="FootnoteText"/>
      </w:pPr>
      <w:r>
        <w:rPr>
          <w:rStyle w:val="FootnoteReference"/>
          <w:rFonts w:eastAsia="Symbol"/>
        </w:rPr>
        <w:footnoteRef/>
      </w:r>
      <w:r>
        <w:t xml:space="preserve"> FCC</w:t>
      </w:r>
      <w:r w:rsidRPr="00683D81">
        <w:t>,</w:t>
      </w:r>
      <w:r w:rsidRPr="00395ADA">
        <w:rPr>
          <w:i/>
        </w:rPr>
        <w:t xml:space="preserve"> Mobility Fund II Initial Eligible Areas Map</w:t>
      </w:r>
      <w:r>
        <w:t xml:space="preserve">, </w:t>
      </w:r>
      <w:r w:rsidRPr="00683D81">
        <w:rPr>
          <w:i/>
        </w:rPr>
        <w:t xml:space="preserve">available at </w:t>
      </w:r>
      <w:hyperlink r:id="rId7" w:history="1">
        <w:r w:rsidRPr="009F0172">
          <w:rPr>
            <w:rStyle w:val="Hyperlink"/>
          </w:rPr>
          <w:t>https://www.fcc.gov/reports-research/maps/mobility-fund-ii-initial-eligible-areas-map/</w:t>
        </w:r>
      </w:hyperlink>
      <w:r>
        <w:t xml:space="preserve">. </w:t>
      </w:r>
    </w:p>
  </w:footnote>
  <w:footnote w:id="39">
    <w:p w:rsidR="00CD5020" w:rsidP="00446963" w14:paraId="60B0BC63" w14:textId="77777777">
      <w:pPr>
        <w:pStyle w:val="FootnoteText"/>
      </w:pPr>
      <w:r>
        <w:rPr>
          <w:rStyle w:val="FootnoteReference"/>
          <w:rFonts w:eastAsia="Symbol"/>
        </w:rPr>
        <w:footnoteRef/>
      </w:r>
      <w:r>
        <w:t xml:space="preserve"> </w:t>
      </w:r>
      <w:r w:rsidRPr="0098504D">
        <w:rPr>
          <w:i/>
        </w:rPr>
        <w:t>Connect America Fund; Universal Service Reform–Mobility Fund</w:t>
      </w:r>
      <w:r>
        <w:t>, Order on Reconsideration and Second Report and Order, 32 FCC Rcd 6282 (2017).</w:t>
      </w:r>
    </w:p>
  </w:footnote>
  <w:footnote w:id="40">
    <w:p w:rsidR="00CD5020" w:rsidP="0034595D" w14:paraId="269864DC" w14:textId="1EE9E7F1">
      <w:pPr>
        <w:pStyle w:val="FootnoteText"/>
      </w:pPr>
      <w:r>
        <w:rPr>
          <w:rStyle w:val="FootnoteReference"/>
          <w:rFonts w:eastAsia="Symbol"/>
        </w:rPr>
        <w:footnoteRef/>
      </w:r>
      <w:r>
        <w:t xml:space="preserve"> </w:t>
      </w:r>
      <w:r w:rsidRPr="0098504D">
        <w:rPr>
          <w:i/>
        </w:rPr>
        <w:t>Mobility Fund Phase II Challenge Process Portal Update: November 2018</w:t>
      </w:r>
      <w:r>
        <w:t xml:space="preserve">, Public Notice, DA 18-1225 (RBATF 2018).  </w:t>
      </w:r>
      <w:r w:rsidRPr="00050E02">
        <w:t>On December 7, 2018, Chairman Pai announced that the Commission has launched an investigation into whether one or more major carriers violated the MF-II reverse auction’s mapping rules and submitted incorrect coverage maps.</w:t>
      </w:r>
      <w:r>
        <w:t xml:space="preserve">  Press Release, FCC, </w:t>
      </w:r>
      <w:r w:rsidRPr="00683D81">
        <w:rPr>
          <w:i/>
        </w:rPr>
        <w:t xml:space="preserve">FCC Launches Investigation </w:t>
      </w:r>
      <w:r w:rsidRPr="00683D81">
        <w:rPr>
          <w:i/>
        </w:rPr>
        <w:t>Into</w:t>
      </w:r>
      <w:r w:rsidRPr="00683D81">
        <w:rPr>
          <w:i/>
        </w:rPr>
        <w:t xml:space="preserve"> Potential Violations of Mobility Fund Phase II Mapping Rules</w:t>
      </w:r>
      <w:r>
        <w:t xml:space="preserve"> (Dec. 7. 2018), </w:t>
      </w:r>
      <w:hyperlink r:id="rId8" w:history="1">
        <w:r w:rsidRPr="00801184">
          <w:rPr>
            <w:rStyle w:val="Hyperlink"/>
          </w:rPr>
          <w:t>https://docs.fcc.gov/public/attachments/DOC-355447A1.pdf</w:t>
        </w:r>
      </w:hyperlink>
      <w:r>
        <w:t xml:space="preserve">.  </w:t>
      </w:r>
      <w:r w:rsidRPr="00050E02">
        <w:t>The Commission has suspended the next step of the challenge process—the opening of a response window—pending the conclusion of this investigation.</w:t>
      </w:r>
      <w:r>
        <w:t xml:space="preserve">  </w:t>
      </w:r>
      <w:r w:rsidRPr="0098504D">
        <w:rPr>
          <w:i/>
        </w:rPr>
        <w:t>Id.</w:t>
      </w:r>
    </w:p>
  </w:footnote>
  <w:footnote w:id="41">
    <w:p w:rsidR="00CD5020" w:rsidRPr="00956383" w:rsidP="00446963" w14:paraId="6BBBC9A4" w14:textId="77777777">
      <w:pPr>
        <w:pStyle w:val="FootnoteText"/>
      </w:pPr>
      <w:r>
        <w:rPr>
          <w:rStyle w:val="FootnoteReference"/>
          <w:rFonts w:eastAsia="Symbol"/>
        </w:rPr>
        <w:footnoteRef/>
      </w:r>
      <w:r>
        <w:t xml:space="preserve"> </w:t>
      </w:r>
      <w:r w:rsidRPr="008A6C94">
        <w:rPr>
          <w:i/>
        </w:rPr>
        <w:t>MF-II Report and Order</w:t>
      </w:r>
      <w:r w:rsidRPr="00956383">
        <w:t xml:space="preserve">, </w:t>
      </w:r>
      <w:r>
        <w:t>32 FCC Rcd at 2167, para. 37.</w:t>
      </w:r>
    </w:p>
  </w:footnote>
  <w:footnote w:id="42">
    <w:p w:rsidR="00CD5020" w:rsidP="00446963" w14:paraId="1E338347" w14:textId="77777777">
      <w:pPr>
        <w:pStyle w:val="FootnoteText"/>
      </w:pPr>
      <w:r>
        <w:rPr>
          <w:rStyle w:val="FootnoteReference"/>
          <w:rFonts w:eastAsia="Symbol"/>
        </w:rPr>
        <w:footnoteRef/>
      </w:r>
      <w:r>
        <w:t xml:space="preserve"> </w:t>
      </w:r>
      <w:r>
        <w:rPr>
          <w:i/>
        </w:rPr>
        <w:t>Id.</w:t>
      </w:r>
      <w:r>
        <w:t xml:space="preserve"> at 2165, para. 33.   </w:t>
      </w:r>
    </w:p>
  </w:footnote>
  <w:footnote w:id="43">
    <w:p w:rsidR="00CD5020" w:rsidRPr="00C1295B" w:rsidP="0034595D" w14:paraId="0C3ACE5E" w14:textId="136E3CC5">
      <w:pPr>
        <w:pStyle w:val="FootnoteText"/>
      </w:pPr>
      <w:r>
        <w:rPr>
          <w:rStyle w:val="FootnoteReference"/>
          <w:rFonts w:eastAsia="Symbol"/>
        </w:rPr>
        <w:footnoteRef/>
      </w:r>
      <w:r>
        <w:t xml:space="preserve"> </w:t>
      </w:r>
      <w:r>
        <w:rPr>
          <w:i/>
        </w:rPr>
        <w:t>See MF-II Webinar PN</w:t>
      </w:r>
      <w:r>
        <w:t xml:space="preserve">.  </w:t>
      </w:r>
    </w:p>
  </w:footnote>
  <w:footnote w:id="44">
    <w:p w:rsidR="00CD5020" w:rsidP="0034595D" w14:paraId="4E460D0C" w14:textId="1DA0CE23">
      <w:pPr>
        <w:pStyle w:val="FootnoteText"/>
      </w:pPr>
      <w:r>
        <w:rPr>
          <w:rStyle w:val="FootnoteReference"/>
          <w:rFonts w:eastAsia="Symbol"/>
        </w:rPr>
        <w:footnoteRef/>
      </w:r>
      <w:r>
        <w:t xml:space="preserve"> </w:t>
      </w:r>
      <w:r>
        <w:rPr>
          <w:i/>
        </w:rPr>
        <w:t>See e.g.</w:t>
      </w:r>
      <w:r>
        <w:t xml:space="preserve">, </w:t>
      </w:r>
      <w:r w:rsidRPr="00D46B2B">
        <w:rPr>
          <w:i/>
        </w:rPr>
        <w:t>Indian Entities Recognized and Eligible to Receive Services from the United Sates Bureau of Indian Affairs</w:t>
      </w:r>
      <w:r>
        <w:t xml:space="preserve">, Notice, 83 Fed. Reg. 34863 (July 23, 2018); 47 CFR § 54.5 (defining Tribal lands for the purpose of the high-cost rules to “include any federally recognized Indian tribe’s reservation… [and] Alaska Native Regions established pursuant to the Alaska Native Claims Settlement Act (85 Stat. 688)….”).         </w:t>
      </w:r>
    </w:p>
  </w:footnote>
  <w:footnote w:id="45">
    <w:p w:rsidR="00CD5020" w:rsidRPr="00602C2B" w:rsidP="0034595D" w14:paraId="7D2DC77A" w14:textId="77777777">
      <w:pPr>
        <w:pStyle w:val="FootnoteText"/>
      </w:pPr>
      <w:r>
        <w:rPr>
          <w:rStyle w:val="FootnoteReference"/>
          <w:rFonts w:eastAsia="Symbol"/>
        </w:rPr>
        <w:footnoteRef/>
      </w:r>
      <w:r>
        <w:t xml:space="preserve"> </w:t>
      </w:r>
      <w:r w:rsidRPr="00E46DFC">
        <w:rPr>
          <w:i/>
        </w:rPr>
        <w:t>Connect America Fund</w:t>
      </w:r>
      <w:r>
        <w:rPr>
          <w:i/>
        </w:rPr>
        <w:t xml:space="preserve"> et al.</w:t>
      </w:r>
      <w:r>
        <w:t>, Report and Order and Further Notice of Proposed Rulemaking, 31 FCC Rcd 10139 (2016) (</w:t>
      </w:r>
      <w:r w:rsidRPr="00E46DFC">
        <w:rPr>
          <w:i/>
        </w:rPr>
        <w:t>Alaska Plan Order</w:t>
      </w:r>
      <w:r>
        <w:t>).</w:t>
      </w:r>
    </w:p>
  </w:footnote>
  <w:footnote w:id="46">
    <w:p w:rsidR="00CD5020" w:rsidP="0034595D" w14:paraId="604A9E03" w14:textId="0A37C44F">
      <w:pPr>
        <w:pStyle w:val="FootnoteText"/>
      </w:pPr>
      <w:r>
        <w:rPr>
          <w:rStyle w:val="FootnoteReference"/>
          <w:rFonts w:eastAsia="Symbol"/>
        </w:rPr>
        <w:footnoteRef/>
      </w:r>
      <w:r>
        <w:t xml:space="preserve"> </w:t>
      </w:r>
      <w:r w:rsidRPr="00395ADA">
        <w:rPr>
          <w:i/>
        </w:rPr>
        <w:t>See</w:t>
      </w:r>
      <w:r>
        <w:t xml:space="preserve"> </w:t>
      </w:r>
      <w:r w:rsidRPr="00395ADA">
        <w:rPr>
          <w:i/>
        </w:rPr>
        <w:t>Alaska Plan Order</w:t>
      </w:r>
      <w:r>
        <w:t>, 31 FCC Rcd at 10143, 10159, paras. 9, 66 (freezing annual support for wireline providers at 2011 levels and wireless providers at 2014 levels).</w:t>
      </w:r>
    </w:p>
  </w:footnote>
  <w:footnote w:id="47">
    <w:p w:rsidR="00CD5020" w:rsidP="0034595D" w14:paraId="299CBB53" w14:textId="77777777">
      <w:pPr>
        <w:pStyle w:val="FootnoteText"/>
      </w:pPr>
      <w:r>
        <w:rPr>
          <w:rStyle w:val="FootnoteReference"/>
          <w:rFonts w:eastAsia="Symbol"/>
        </w:rPr>
        <w:footnoteRef/>
      </w:r>
      <w:r>
        <w:t xml:space="preserve"> </w:t>
      </w:r>
      <w:r w:rsidRPr="000E3518">
        <w:rPr>
          <w:i/>
        </w:rPr>
        <w:t xml:space="preserve">Wireless Telecommunications Bureau Approves Performance Plans of the Eight Wireless Providers That Elected </w:t>
      </w:r>
      <w:r>
        <w:rPr>
          <w:i/>
        </w:rPr>
        <w:t>t</w:t>
      </w:r>
      <w:r w:rsidRPr="000E3518">
        <w:rPr>
          <w:i/>
        </w:rPr>
        <w:t>o Participate in the Alaska Plan</w:t>
      </w:r>
      <w:r>
        <w:t xml:space="preserve">, Public Notice, 31 FCC Rcd 13317, Appx. (WTB 2016); </w:t>
      </w:r>
      <w:r w:rsidRPr="000E3518">
        <w:rPr>
          <w:i/>
        </w:rPr>
        <w:t>Wireline Competition Bureau Authorizes Alaska Plan Support for 13 Alaskan Rate of Return Carriers</w:t>
      </w:r>
      <w:r>
        <w:t>, Public Notice, 31 FCC Rcd 13347, Appx. B (WCB 2016).</w:t>
      </w:r>
    </w:p>
  </w:footnote>
  <w:footnote w:id="48">
    <w:p w:rsidR="00CD5020" w:rsidP="0034595D" w14:paraId="7CCB17A5" w14:textId="3ADF90C9">
      <w:pPr>
        <w:pStyle w:val="FootnoteText"/>
      </w:pPr>
      <w:r>
        <w:rPr>
          <w:rStyle w:val="FootnoteReference"/>
          <w:rFonts w:eastAsia="Symbol"/>
        </w:rPr>
        <w:footnoteRef/>
      </w:r>
      <w:r>
        <w:t xml:space="preserve"> </w:t>
      </w:r>
      <w:r>
        <w:rPr>
          <w:i/>
        </w:rPr>
        <w:t>Id.</w:t>
      </w:r>
    </w:p>
  </w:footnote>
  <w:footnote w:id="49">
    <w:p w:rsidR="00CD5020" w:rsidRPr="00602C2B" w:rsidP="0034595D" w14:paraId="16571380" w14:textId="77777777">
      <w:pPr>
        <w:pStyle w:val="FootnoteText"/>
      </w:pPr>
      <w:r>
        <w:rPr>
          <w:rStyle w:val="FootnoteReference"/>
          <w:rFonts w:eastAsia="Symbol"/>
        </w:rPr>
        <w:footnoteRef/>
      </w:r>
      <w:r>
        <w:t xml:space="preserve"> </w:t>
      </w:r>
      <w:r>
        <w:rPr>
          <w:i/>
        </w:rPr>
        <w:t>Alaska Plan Order</w:t>
      </w:r>
      <w:r>
        <w:t>, 31 FCC Rcd at 10167, para. 86.</w:t>
      </w:r>
    </w:p>
  </w:footnote>
  <w:footnote w:id="50">
    <w:p w:rsidR="00CD5020" w:rsidP="0034595D" w14:paraId="2593C109" w14:textId="5045F7A3">
      <w:pPr>
        <w:pStyle w:val="FootnoteText"/>
      </w:pPr>
      <w:r>
        <w:rPr>
          <w:rStyle w:val="FootnoteReference"/>
          <w:rFonts w:eastAsia="Symbol"/>
        </w:rPr>
        <w:footnoteRef/>
      </w:r>
      <w:r>
        <w:t xml:space="preserve"> </w:t>
      </w:r>
      <w:r>
        <w:rPr>
          <w:i/>
        </w:rPr>
        <w:t>Id.</w:t>
      </w:r>
      <w:r>
        <w:t xml:space="preserve"> at 10172, para. 102.</w:t>
      </w:r>
    </w:p>
  </w:footnote>
  <w:footnote w:id="51">
    <w:p w:rsidR="00CD5020" w:rsidRPr="00602C2B" w:rsidP="0034595D" w14:paraId="30613E34" w14:textId="74D572C5">
      <w:pPr>
        <w:pStyle w:val="FootnoteText"/>
      </w:pPr>
      <w:r>
        <w:rPr>
          <w:rStyle w:val="FootnoteReference"/>
          <w:rFonts w:eastAsia="Symbol"/>
        </w:rPr>
        <w:footnoteRef/>
      </w:r>
      <w:r>
        <w:t xml:space="preserve"> </w:t>
      </w:r>
      <w:r>
        <w:rPr>
          <w:i/>
        </w:rPr>
        <w:t xml:space="preserve">Id. </w:t>
      </w:r>
      <w:r>
        <w:t>at 10172, para. 106.</w:t>
      </w:r>
    </w:p>
  </w:footnote>
  <w:footnote w:id="52">
    <w:p w:rsidR="00CD5020" w:rsidRPr="00145BAF" w:rsidP="0034595D" w14:paraId="1D9C12C1" w14:textId="5FA64E1C">
      <w:pPr>
        <w:pStyle w:val="FootnoteText"/>
      </w:pPr>
      <w:r>
        <w:rPr>
          <w:rStyle w:val="FootnoteReference"/>
          <w:rFonts w:eastAsia="Symbol"/>
        </w:rPr>
        <w:footnoteRef/>
      </w:r>
      <w:r>
        <w:t xml:space="preserve"> </w:t>
      </w:r>
      <w:r>
        <w:rPr>
          <w:i/>
        </w:rPr>
        <w:t>Id.</w:t>
      </w:r>
      <w:r>
        <w:t xml:space="preserve"> at 10146, para. 6.</w:t>
      </w:r>
    </w:p>
  </w:footnote>
  <w:footnote w:id="53">
    <w:p w:rsidR="00CD5020" w:rsidRPr="00BF547D" w:rsidP="00DB34F0" w14:paraId="0E3B40AE" w14:textId="77777777">
      <w:pPr>
        <w:pStyle w:val="FootnoteText"/>
      </w:pPr>
      <w:r>
        <w:rPr>
          <w:rStyle w:val="FootnoteReference"/>
        </w:rPr>
        <w:footnoteRef/>
      </w:r>
      <w:r>
        <w:t xml:space="preserve"> </w:t>
      </w:r>
      <w:r>
        <w:rPr>
          <w:i/>
        </w:rPr>
        <w:t>Connect America Fund</w:t>
      </w:r>
      <w:r>
        <w:t>, Order, 31 FCC Rcd. 12086 (2016) (</w:t>
      </w:r>
      <w:r>
        <w:rPr>
          <w:i/>
        </w:rPr>
        <w:t>ACS CAFII Order</w:t>
      </w:r>
      <w:r>
        <w:t>).</w:t>
      </w:r>
    </w:p>
  </w:footnote>
  <w:footnote w:id="54">
    <w:p w:rsidR="00CD5020" w:rsidRPr="001E0D17" w:rsidP="00DB34F0" w14:paraId="4575FEDF" w14:textId="3D50E2D1">
      <w:pPr>
        <w:pStyle w:val="FootnoteText"/>
      </w:pPr>
      <w:r>
        <w:rPr>
          <w:rStyle w:val="FootnoteReference"/>
        </w:rPr>
        <w:footnoteRef/>
      </w:r>
      <w:r>
        <w:t xml:space="preserve"> </w:t>
      </w:r>
      <w:r>
        <w:rPr>
          <w:i/>
        </w:rPr>
        <w:t>Id.</w:t>
      </w:r>
      <w:r>
        <w:t xml:space="preserve"> at 12089-12092, paras. 9-21.</w:t>
      </w:r>
    </w:p>
  </w:footnote>
  <w:footnote w:id="55">
    <w:p w:rsidR="00CD5020" w:rsidRPr="000732D5" w:rsidP="00DB34F0" w14:paraId="5ABF7858" w14:textId="6B3DCD3E">
      <w:pPr>
        <w:pStyle w:val="FootnoteText"/>
      </w:pPr>
      <w:r>
        <w:rPr>
          <w:rStyle w:val="FootnoteReference"/>
        </w:rPr>
        <w:footnoteRef/>
      </w:r>
      <w:r>
        <w:t xml:space="preserve"> </w:t>
      </w:r>
      <w:r>
        <w:rPr>
          <w:i/>
        </w:rPr>
        <w:t>Id.</w:t>
      </w:r>
      <w:r>
        <w:t xml:space="preserve"> at 12099, para. 44.  </w:t>
      </w:r>
      <w:r>
        <w:rPr>
          <w:i/>
        </w:rPr>
        <w:t>See also</w:t>
      </w:r>
      <w:r>
        <w:t xml:space="preserve"> Letter from Ruth L. Willard, Senior Director Revenue Management, Alaska Communications Systems Holding Inc., to Marlene H. Dortch, Secretary, FCC, WC Docket No. 10-90 (Feb. 28, 2019) (submitting the list of locations to which ACS deployed broadband services meeting CAF II requirements by December 31, 2018).</w:t>
      </w:r>
    </w:p>
  </w:footnote>
  <w:footnote w:id="56">
    <w:p w:rsidR="00CD5020" w14:paraId="753E9F27" w14:textId="7A969C81">
      <w:pPr>
        <w:pStyle w:val="FootnoteText"/>
      </w:pPr>
      <w:r>
        <w:rPr>
          <w:rStyle w:val="FootnoteReference"/>
        </w:rPr>
        <w:footnoteRef/>
      </w:r>
      <w:r>
        <w:t xml:space="preserve"> </w:t>
      </w:r>
      <w:r w:rsidRPr="000D5B96">
        <w:rPr>
          <w:i/>
        </w:rPr>
        <w:t>Federal-State Joint Board on Universal Service et al</w:t>
      </w:r>
      <w:r>
        <w:t>., Twelfth Report and Order, Memorandum Opinion and Order, and Further Notice of Proposed Rulemaking, 15 FCC Rcd 12208, 12230, para. 42 (2000).</w:t>
      </w:r>
    </w:p>
  </w:footnote>
  <w:footnote w:id="57">
    <w:p w:rsidR="00CD5020" w14:paraId="6BAC2616" w14:textId="309C7CC2">
      <w:pPr>
        <w:pStyle w:val="FootnoteText"/>
      </w:pPr>
      <w:r>
        <w:rPr>
          <w:rStyle w:val="FootnoteReference"/>
        </w:rPr>
        <w:footnoteRef/>
      </w:r>
      <w:r>
        <w:t xml:space="preserve"> </w:t>
      </w:r>
      <w:r w:rsidRPr="00EA1D34">
        <w:rPr>
          <w:i/>
        </w:rPr>
        <w:t>Bridging the Digital Divide for Low-Income Consumers et al</w:t>
      </w:r>
      <w:r>
        <w:t>., Fourth Report and Order, Order on Reconsideration, Memorandum Opinion and Order, Notice of Proposed Rulemaking, and Notice of Inquiry, 32 FCC Rcd 10475 (2017).</w:t>
      </w:r>
    </w:p>
  </w:footnote>
  <w:footnote w:id="58">
    <w:p w:rsidR="00CD5020" w14:paraId="449F309C" w14:textId="190F22E7">
      <w:pPr>
        <w:pStyle w:val="FootnoteText"/>
      </w:pPr>
      <w:r>
        <w:rPr>
          <w:rStyle w:val="FootnoteReference"/>
        </w:rPr>
        <w:footnoteRef/>
      </w:r>
      <w:r>
        <w:t xml:space="preserve"> </w:t>
      </w:r>
      <w:r w:rsidRPr="00EA1D34">
        <w:rPr>
          <w:i/>
        </w:rPr>
        <w:t>Modernizing the E-rate Program for Schools and Libraries</w:t>
      </w:r>
      <w:r>
        <w:t xml:space="preserve">, Report and Order and Further Notice of Proposed Rulemaking, 29 FCC Rcd 8870 (2014). </w:t>
      </w:r>
    </w:p>
  </w:footnote>
  <w:footnote w:id="59">
    <w:p w:rsidR="00CD5020" w:rsidRPr="00897CE5" w14:paraId="1DB88FE3" w14:textId="773978EB">
      <w:pPr>
        <w:pStyle w:val="FootnoteText"/>
      </w:pPr>
      <w:r>
        <w:rPr>
          <w:rStyle w:val="FootnoteReference"/>
        </w:rPr>
        <w:footnoteRef/>
      </w:r>
      <w:r>
        <w:t xml:space="preserve"> </w:t>
      </w:r>
      <w:r>
        <w:rPr>
          <w:i/>
        </w:rPr>
        <w:t>Id.</w:t>
      </w:r>
      <w:r>
        <w:t xml:space="preserve"> at 8967-8970, paras. 243-49</w:t>
      </w:r>
      <w:r w:rsidR="007A2107">
        <w:t>.</w:t>
      </w:r>
    </w:p>
  </w:footnote>
  <w:footnote w:id="60">
    <w:p w:rsidR="00CD5020" w:rsidRPr="00582CF7" w:rsidP="00DB34F0" w14:paraId="62EDFE39" w14:textId="77777777">
      <w:pPr>
        <w:pStyle w:val="FootnoteText"/>
      </w:pPr>
      <w:r>
        <w:rPr>
          <w:rStyle w:val="FootnoteReference"/>
        </w:rPr>
        <w:footnoteRef/>
      </w:r>
      <w:r>
        <w:t xml:space="preserve"> </w:t>
      </w:r>
      <w:r>
        <w:rPr>
          <w:i/>
        </w:rPr>
        <w:t>Promoting Telehealth in Rural America</w:t>
      </w:r>
      <w:r>
        <w:t>, Notice of Proposed Rulemaking, 32 FCC Rcd. 10631, 10639, para. 12 (2017).</w:t>
      </w:r>
    </w:p>
  </w:footnote>
  <w:footnote w:id="61">
    <w:p w:rsidR="00CD5020" w:rsidRPr="00574606" w:rsidP="00DB34F0" w14:paraId="5F3EACA4" w14:textId="2A2DEC51">
      <w:pPr>
        <w:pStyle w:val="FootnoteText"/>
      </w:pPr>
      <w:r>
        <w:rPr>
          <w:rStyle w:val="FootnoteReference"/>
        </w:rPr>
        <w:footnoteRef/>
      </w:r>
      <w:r>
        <w:t xml:space="preserve"> </w:t>
      </w:r>
      <w:r>
        <w:rPr>
          <w:i/>
        </w:rPr>
        <w:t>Promoting Telehealth in Rural America</w:t>
      </w:r>
      <w:r>
        <w:t>, Report and Order, 33 FCC Rcd 6574 (2018).</w:t>
      </w:r>
    </w:p>
  </w:footnote>
  <w:footnote w:id="62">
    <w:p w:rsidR="00CD5020" w:rsidRPr="00057C53" w:rsidP="00894BE1" w14:paraId="5B93D9A6" w14:textId="77777777">
      <w:pPr>
        <w:pStyle w:val="FootnoteText"/>
      </w:pPr>
      <w:r w:rsidRPr="00F76E47">
        <w:rPr>
          <w:rStyle w:val="FootnoteReference"/>
        </w:rPr>
        <w:footnoteRef/>
      </w:r>
      <w:r w:rsidRPr="00F76E47">
        <w:t xml:space="preserve"> </w:t>
      </w:r>
      <w:r>
        <w:rPr>
          <w:szCs w:val="22"/>
        </w:rPr>
        <w:t>T</w:t>
      </w:r>
      <w:r w:rsidRPr="00430B9D">
        <w:rPr>
          <w:szCs w:val="22"/>
        </w:rPr>
        <w:t xml:space="preserve">he Commission created the Office of Native Affairs and Policy (ONAP) </w:t>
      </w:r>
      <w:r>
        <w:rPr>
          <w:szCs w:val="22"/>
        </w:rPr>
        <w:t xml:space="preserve">in 2010 </w:t>
      </w:r>
      <w:r w:rsidRPr="00430B9D">
        <w:rPr>
          <w:szCs w:val="22"/>
        </w:rPr>
        <w:t>as part of its Consumer and Governmental Affairs Bureau to manage the Commission’s Tribal consultation efforts and to increase the deployment and adoption of communications services on Tribal lands and in Native communities.</w:t>
      </w:r>
      <w:r>
        <w:rPr>
          <w:szCs w:val="22"/>
        </w:rPr>
        <w:t xml:space="preserve">  </w:t>
      </w:r>
      <w:r w:rsidRPr="00211CCF">
        <w:rPr>
          <w:rFonts w:cs="Arial"/>
          <w:i/>
        </w:rPr>
        <w:t>Establishment of the Office of Native Affairs and Policy in the Consumer and Government Affairs Bureau</w:t>
      </w:r>
      <w:r w:rsidRPr="00211CCF">
        <w:rPr>
          <w:rFonts w:cs="Arial"/>
        </w:rPr>
        <w:t>, Order, 25 FCC Rcd 11104 (2010).</w:t>
      </w:r>
      <w:r>
        <w:rPr>
          <w:rFonts w:cs="Arial"/>
        </w:rPr>
        <w:t xml:space="preserve">  </w:t>
      </w:r>
      <w:r w:rsidRPr="00057C53">
        <w:t xml:space="preserve">ONAP’s consultation efforts extend to federally recognized Indian tribes, Alaska Native villages, and entities related to Hawaiian home lands.  </w:t>
      </w:r>
    </w:p>
  </w:footnote>
  <w:footnote w:id="63">
    <w:p w:rsidR="00CD5020" w:rsidRPr="00057C53" w:rsidP="00894BE1" w14:paraId="5211AAF1" w14:textId="77777777">
      <w:pPr>
        <w:pStyle w:val="FootnoteText"/>
      </w:pPr>
      <w:r w:rsidRPr="00057C53">
        <w:rPr>
          <w:rStyle w:val="FootnoteReference"/>
        </w:rPr>
        <w:footnoteRef/>
      </w:r>
      <w:r w:rsidRPr="00057C53">
        <w:t xml:space="preserve"> </w:t>
      </w:r>
      <w:r w:rsidRPr="00057C53">
        <w:rPr>
          <w:i/>
        </w:rPr>
        <w:t>Accelerating Wireless Broadband Deployment by Removing Barriers to Infrastructure Investment</w:t>
      </w:r>
      <w:r w:rsidRPr="00057C53">
        <w:t>, Notice of Proposed Rulemaking and Notice of Inquiry, 32 FCC Rcd 3330 (2017) (</w:t>
      </w:r>
      <w:r w:rsidRPr="00057C53">
        <w:rPr>
          <w:i/>
        </w:rPr>
        <w:t>Wireless Infrastructure NPRM</w:t>
      </w:r>
      <w:r w:rsidRPr="00057C53">
        <w:t>).</w:t>
      </w:r>
    </w:p>
  </w:footnote>
  <w:footnote w:id="64">
    <w:p w:rsidR="00CD5020" w:rsidRPr="00057C53" w:rsidP="00894BE1" w14:paraId="0AD7C023" w14:textId="77777777">
      <w:pPr>
        <w:pStyle w:val="FootnoteText"/>
      </w:pPr>
      <w:r w:rsidRPr="00057C53">
        <w:rPr>
          <w:rStyle w:val="FootnoteReference"/>
        </w:rPr>
        <w:footnoteRef/>
      </w:r>
      <w:r w:rsidRPr="00057C53">
        <w:t xml:space="preserve"> </w:t>
      </w:r>
      <w:r w:rsidRPr="00057C53">
        <w:rPr>
          <w:rFonts w:eastAsia="Calibri"/>
          <w:i/>
        </w:rPr>
        <w:t>Accelerating Wireless Broadband Deployment by Removing Barriers to Infrastructure Investment</w:t>
      </w:r>
      <w:r w:rsidRPr="00057C53">
        <w:rPr>
          <w:rFonts w:eastAsia="Calibri"/>
        </w:rPr>
        <w:t>, Second Report and Order, FCC 18-30, paras. 17-35 (2018) (noting, at para. 18, that “[o]ne of the in-person consultations was attended by over 70 representatives of more than 50 Tribal Nations and organizations”) (</w:t>
      </w:r>
      <w:r w:rsidRPr="00057C53">
        <w:rPr>
          <w:rFonts w:eastAsia="Calibri"/>
          <w:i/>
        </w:rPr>
        <w:t>Wireless Infrastructure Second Report and Order</w:t>
      </w:r>
      <w:r w:rsidRPr="00057C53">
        <w:rPr>
          <w:rFonts w:eastAsia="Calibri"/>
        </w:rPr>
        <w:t>).</w:t>
      </w:r>
    </w:p>
  </w:footnote>
  <w:footnote w:id="65">
    <w:p w:rsidR="00CD5020" w:rsidP="00894BE1" w14:paraId="11F2B75D" w14:textId="77777777">
      <w:pPr>
        <w:pStyle w:val="FootnoteText"/>
      </w:pPr>
      <w:r>
        <w:rPr>
          <w:rStyle w:val="FootnoteReference"/>
        </w:rPr>
        <w:footnoteRef/>
      </w:r>
      <w:r>
        <w:t xml:space="preserve"> </w:t>
      </w:r>
      <w:r w:rsidRPr="005A24D1">
        <w:rPr>
          <w:i/>
        </w:rPr>
        <w:t>See</w:t>
      </w:r>
      <w:r>
        <w:t xml:space="preserve">, </w:t>
      </w:r>
      <w:r w:rsidRPr="002814F6">
        <w:rPr>
          <w:i/>
        </w:rPr>
        <w:t>e.g</w:t>
      </w:r>
      <w:r>
        <w:t xml:space="preserve">., </w:t>
      </w:r>
      <w:r w:rsidRPr="003555A2">
        <w:rPr>
          <w:i/>
        </w:rPr>
        <w:t>Mobility Fund Phase II Challenge Process Webinar for Tribal Government Officia</w:t>
      </w:r>
      <w:r>
        <w:rPr>
          <w:i/>
        </w:rPr>
        <w:t>ls</w:t>
      </w:r>
      <w:r>
        <w:t>, Public Notice, 33 FCC Rcd 5964 (2018) (</w:t>
      </w:r>
      <w:r>
        <w:rPr>
          <w:i/>
        </w:rPr>
        <w:t>MF-II Webinar PN</w:t>
      </w:r>
      <w:r>
        <w:t xml:space="preserve">).  The RBATF has also traveled with ONAP to the Tribal Self-Governance Conference (Albuquerque, NM 4/23/18) and Affiliated Tribes of Northwest Indian Convention (Toppenish, WA 5/23/18) to engage with Tribal entities.  </w:t>
      </w:r>
    </w:p>
  </w:footnote>
  <w:footnote w:id="66">
    <w:p w:rsidR="00CD5020" w:rsidRPr="00C63EE2" w:rsidP="00894BE1" w14:paraId="27712A8D" w14:textId="2109E4DD">
      <w:pPr>
        <w:pStyle w:val="FootnoteText"/>
      </w:pPr>
      <w:r>
        <w:rPr>
          <w:rStyle w:val="FootnoteReference"/>
        </w:rPr>
        <w:footnoteRef/>
      </w:r>
      <w:r>
        <w:t xml:space="preserve"> </w:t>
      </w:r>
      <w:r>
        <w:rPr>
          <w:i/>
        </w:rPr>
        <w:t>FCC Seeks Nominations for Tribal Government Representatives to Serve on Renewed FCC Native Nations Communications Task Force</w:t>
      </w:r>
      <w:r>
        <w:t>, Public Notice, 33 FCC Rcd 1264 (</w:t>
      </w:r>
      <w:r w:rsidR="00884BB0">
        <w:t>CGB</w:t>
      </w:r>
      <w:r w:rsidR="00884BB0">
        <w:t xml:space="preserve"> </w:t>
      </w:r>
      <w:r>
        <w:t>2018).</w:t>
      </w:r>
    </w:p>
  </w:footnote>
  <w:footnote w:id="67">
    <w:p w:rsidR="00CD5020" w:rsidP="00894BE1" w14:paraId="3B7A2CCE" w14:textId="1CACF6E4">
      <w:pPr>
        <w:pStyle w:val="FootnoteText"/>
      </w:pPr>
      <w:r>
        <w:rPr>
          <w:rStyle w:val="FootnoteReference"/>
        </w:rPr>
        <w:footnoteRef/>
      </w:r>
      <w:r>
        <w:t xml:space="preserve"> </w:t>
      </w:r>
      <w:r w:rsidRPr="001F02AA">
        <w:rPr>
          <w:i/>
        </w:rPr>
        <w:t>Chairman Pai Announces New Appointments to the Native Nations Communications Task Force</w:t>
      </w:r>
      <w:r>
        <w:t>, Public Notice, 33 FCC Rcd 10152 (</w:t>
      </w:r>
      <w:r w:rsidR="00884BB0">
        <w:t>CGB</w:t>
      </w:r>
      <w:r w:rsidR="00884BB0">
        <w:t xml:space="preserve"> </w:t>
      </w:r>
      <w:r>
        <w:t>2018).</w:t>
      </w:r>
    </w:p>
  </w:footnote>
  <w:footnote w:id="68">
    <w:p w:rsidR="00CD5020" w:rsidP="00446963" w14:paraId="39774656" w14:textId="77777777">
      <w:pPr>
        <w:pStyle w:val="FootnoteText"/>
      </w:pPr>
      <w:r>
        <w:rPr>
          <w:rStyle w:val="FootnoteReference"/>
        </w:rPr>
        <w:footnoteRef/>
      </w:r>
      <w:r>
        <w:t xml:space="preserve"> </w:t>
      </w:r>
      <w:r w:rsidRPr="00C8682F">
        <w:rPr>
          <w:i/>
        </w:rPr>
        <w:t>Transforming the 2.5 GHz Band</w:t>
      </w:r>
      <w:r w:rsidRPr="00C8682F">
        <w:t>, Notice of Proposed Rul</w:t>
      </w:r>
      <w:r>
        <w:t>emaking, 33 FCC Rcd 4687 (</w:t>
      </w:r>
      <w:r w:rsidRPr="00C8682F">
        <w:t>2018)</w:t>
      </w:r>
      <w:r>
        <w:t>.</w:t>
      </w:r>
    </w:p>
  </w:footnote>
  <w:footnote w:id="69">
    <w:p w:rsidR="00CD5020" w:rsidRPr="0014785D" w:rsidP="0014785D" w14:paraId="2CACAEB4" w14:textId="126FAE9B">
      <w:pPr>
        <w:pStyle w:val="FootnoteText"/>
      </w:pPr>
      <w:r>
        <w:rPr>
          <w:rStyle w:val="FootnoteReference"/>
        </w:rPr>
        <w:footnoteRef/>
      </w:r>
      <w:r>
        <w:t xml:space="preserve"> </w:t>
      </w:r>
      <w:r>
        <w:rPr>
          <w:i/>
        </w:rPr>
        <w:t>Id.</w:t>
      </w:r>
      <w:r>
        <w:t xml:space="preserve"> at 4698-99, paras. 35-38.</w:t>
      </w:r>
    </w:p>
  </w:footnote>
  <w:footnote w:id="70">
    <w:p w:rsidR="00CD5020" w14:paraId="44A53E2D" w14:textId="56DF678D">
      <w:pPr>
        <w:pStyle w:val="FootnoteText"/>
      </w:pPr>
      <w:r>
        <w:rPr>
          <w:rStyle w:val="FootnoteReference"/>
        </w:rPr>
        <w:footnoteRef/>
      </w:r>
      <w:r>
        <w:t xml:space="preserve"> </w:t>
      </w:r>
      <w:r>
        <w:rPr>
          <w:i/>
        </w:rPr>
        <w:t>Id.</w:t>
      </w:r>
      <w:r>
        <w:t xml:space="preserve"> at 4698-99, para. 36.</w:t>
      </w:r>
    </w:p>
  </w:footnote>
  <w:footnote w:id="71">
    <w:p w:rsidR="00CD5020" w14:paraId="0F48F3A2" w14:textId="7D691DEF">
      <w:pPr>
        <w:pStyle w:val="FootnoteText"/>
      </w:pPr>
      <w:r>
        <w:rPr>
          <w:rStyle w:val="FootnoteReference"/>
        </w:rPr>
        <w:footnoteRef/>
      </w:r>
      <w:r>
        <w:t xml:space="preserve"> </w:t>
      </w:r>
      <w:r>
        <w:rPr>
          <w:i/>
        </w:rPr>
        <w:t>Id.</w:t>
      </w:r>
      <w:r>
        <w:t xml:space="preserve"> at 4699, para. 39.</w:t>
      </w:r>
    </w:p>
  </w:footnote>
  <w:footnote w:id="72">
    <w:p w:rsidR="00CD5020" w14:paraId="6F7B9364" w14:textId="24E7A711">
      <w:pPr>
        <w:pStyle w:val="FootnoteText"/>
      </w:pPr>
      <w:r>
        <w:rPr>
          <w:rStyle w:val="FootnoteReference"/>
        </w:rPr>
        <w:footnoteRef/>
      </w:r>
      <w:r>
        <w:t xml:space="preserve"> </w:t>
      </w:r>
      <w:r>
        <w:rPr>
          <w:i/>
        </w:rPr>
        <w:t>Id.</w:t>
      </w:r>
      <w:r>
        <w:t xml:space="preserve"> at 4705, para. 61.</w:t>
      </w:r>
    </w:p>
  </w:footnote>
  <w:footnote w:id="73">
    <w:p w:rsidR="00CD5020" w:rsidRPr="00C8682F" w:rsidP="00DB34F0" w14:paraId="2560B604" w14:textId="77777777">
      <w:pPr>
        <w:pStyle w:val="FootnoteText"/>
      </w:pPr>
      <w:r>
        <w:rPr>
          <w:rStyle w:val="FootnoteReference"/>
        </w:rPr>
        <w:footnoteRef/>
      </w:r>
      <w:r>
        <w:t xml:space="preserve"> </w:t>
      </w:r>
      <w:r>
        <w:rPr>
          <w:i/>
        </w:rPr>
        <w:t xml:space="preserve">See </w:t>
      </w:r>
      <w:r>
        <w:t>47 CFR §1.2110(f)(3).</w:t>
      </w:r>
    </w:p>
  </w:footnote>
  <w:footnote w:id="74">
    <w:p w:rsidR="00CD5020" w14:paraId="50883A22" w14:textId="7B51410D">
      <w:pPr>
        <w:pStyle w:val="FootnoteText"/>
      </w:pPr>
      <w:r>
        <w:rPr>
          <w:rStyle w:val="FootnoteReference"/>
        </w:rPr>
        <w:footnoteRef/>
      </w:r>
      <w:r>
        <w:t xml:space="preserve"> </w:t>
      </w:r>
      <w:r>
        <w:rPr>
          <w:szCs w:val="24"/>
        </w:rPr>
        <w:t xml:space="preserve">For purposes of the TLBC, qualifying Tribal lands are </w:t>
      </w:r>
      <w:r w:rsidRPr="00C8682F">
        <w:rPr>
          <w:szCs w:val="24"/>
        </w:rPr>
        <w:t xml:space="preserve">defined as federally recognized Indian </w:t>
      </w:r>
      <w:r>
        <w:rPr>
          <w:szCs w:val="24"/>
        </w:rPr>
        <w:t>T</w:t>
      </w:r>
      <w:r w:rsidRPr="00C8682F">
        <w:rPr>
          <w:szCs w:val="24"/>
        </w:rPr>
        <w:t>ribe</w:t>
      </w:r>
      <w:r>
        <w:rPr>
          <w:szCs w:val="24"/>
        </w:rPr>
        <w:t xml:space="preserve"> </w:t>
      </w:r>
      <w:r w:rsidRPr="00C8682F">
        <w:rPr>
          <w:szCs w:val="24"/>
        </w:rPr>
        <w:t>reservation</w:t>
      </w:r>
      <w:r>
        <w:rPr>
          <w:szCs w:val="24"/>
        </w:rPr>
        <w:t>s</w:t>
      </w:r>
      <w:r w:rsidRPr="00C8682F">
        <w:rPr>
          <w:szCs w:val="24"/>
        </w:rPr>
        <w:t>, Pueblo</w:t>
      </w:r>
      <w:r>
        <w:rPr>
          <w:szCs w:val="24"/>
        </w:rPr>
        <w:t>s</w:t>
      </w:r>
      <w:r w:rsidRPr="00C8682F">
        <w:rPr>
          <w:szCs w:val="24"/>
        </w:rPr>
        <w:t>, or Colo</w:t>
      </w:r>
      <w:r>
        <w:rPr>
          <w:szCs w:val="24"/>
        </w:rPr>
        <w:t>nies</w:t>
      </w:r>
      <w:r w:rsidRPr="00C8682F">
        <w:rPr>
          <w:szCs w:val="24"/>
        </w:rPr>
        <w:t>, including former reservations in Oklahoma, Alaska Native regions, and Indian allotments</w:t>
      </w:r>
      <w:r>
        <w:rPr>
          <w:szCs w:val="24"/>
        </w:rPr>
        <w:t>, with</w:t>
      </w:r>
      <w:r w:rsidRPr="00C8682F">
        <w:rPr>
          <w:szCs w:val="24"/>
        </w:rPr>
        <w:t xml:space="preserve"> a wireline telephone subscription </w:t>
      </w:r>
      <w:r>
        <w:rPr>
          <w:szCs w:val="24"/>
        </w:rPr>
        <w:t xml:space="preserve">penetration </w:t>
      </w:r>
      <w:r w:rsidRPr="00C8682F">
        <w:rPr>
          <w:szCs w:val="24"/>
        </w:rPr>
        <w:t xml:space="preserve">rate </w:t>
      </w:r>
      <w:r>
        <w:rPr>
          <w:szCs w:val="24"/>
        </w:rPr>
        <w:t xml:space="preserve">of </w:t>
      </w:r>
      <w:r w:rsidRPr="00C8682F">
        <w:rPr>
          <w:szCs w:val="24"/>
        </w:rPr>
        <w:t xml:space="preserve">85% </w:t>
      </w:r>
      <w:r>
        <w:rPr>
          <w:szCs w:val="24"/>
        </w:rPr>
        <w:t xml:space="preserve">or less, </w:t>
      </w:r>
      <w:r w:rsidRPr="00C8682F">
        <w:rPr>
          <w:szCs w:val="24"/>
        </w:rPr>
        <w:t>based on the most recent Census data</w:t>
      </w:r>
      <w:r w:rsidR="007A2107">
        <w:rPr>
          <w:szCs w:val="24"/>
        </w:rPr>
        <w:t>.</w:t>
      </w:r>
    </w:p>
  </w:footnote>
  <w:footnote w:id="75">
    <w:p w:rsidR="00CD5020" w:rsidRPr="005C0037" w:rsidP="0034595D" w14:paraId="2D67C6DB" w14:textId="0A146063">
      <w:pPr>
        <w:pStyle w:val="FootnoteText"/>
      </w:pPr>
      <w:r w:rsidRPr="005C0037">
        <w:rPr>
          <w:rStyle w:val="FootnoteReference"/>
          <w:rFonts w:eastAsia="Symbol"/>
        </w:rPr>
        <w:footnoteRef/>
      </w:r>
      <w:r w:rsidRPr="005C0037">
        <w:t xml:space="preserve"> </w:t>
      </w:r>
      <w:r w:rsidRPr="00FD692D">
        <w:rPr>
          <w:i/>
        </w:rPr>
        <w:t>See generally</w:t>
      </w:r>
      <w:r w:rsidRPr="005C0037">
        <w:t xml:space="preserve"> </w:t>
      </w:r>
      <w:r>
        <w:t>FCC,</w:t>
      </w:r>
      <w:r w:rsidRPr="005C0037">
        <w:t xml:space="preserve"> </w:t>
      </w:r>
      <w:r w:rsidRPr="00DA373A">
        <w:rPr>
          <w:i/>
        </w:rPr>
        <w:t>Broadcast Incentive Auction and Post-Auction Transition</w:t>
      </w:r>
      <w:r>
        <w:t xml:space="preserve">, </w:t>
      </w:r>
      <w:r w:rsidRPr="00F7463F">
        <w:rPr>
          <w:i/>
        </w:rPr>
        <w:t>available at</w:t>
      </w:r>
      <w:r>
        <w:t xml:space="preserve"> </w:t>
      </w:r>
      <w:hyperlink r:id="rId9" w:history="1">
        <w:r w:rsidRPr="009F0172">
          <w:rPr>
            <w:rStyle w:val="Hyperlink"/>
          </w:rPr>
          <w:t>https://www.fcc.gov/about-fcc/fcc-initiatives/incentive-auctions</w:t>
        </w:r>
      </w:hyperlink>
      <w:r w:rsidRPr="005C0037">
        <w:t>.</w:t>
      </w:r>
    </w:p>
  </w:footnote>
  <w:footnote w:id="76">
    <w:p w:rsidR="00CD5020" w:rsidRPr="00D73DFE" w:rsidP="0034595D" w14:paraId="01448E50" w14:textId="34A3AB9B">
      <w:pPr>
        <w:pStyle w:val="FootnoteText"/>
      </w:pPr>
      <w:r w:rsidRPr="005C0037">
        <w:rPr>
          <w:rStyle w:val="FootnoteReference"/>
          <w:rFonts w:eastAsia="Symbol"/>
        </w:rPr>
        <w:footnoteRef/>
      </w:r>
      <w:r w:rsidRPr="005C0037">
        <w:t xml:space="preserve"> </w:t>
      </w:r>
      <w:r w:rsidRPr="00DA373A">
        <w:rPr>
          <w:i/>
        </w:rPr>
        <w:t>Expanding Flexible Use of the 3.7 GHz to 4.2 GHz Band et al.</w:t>
      </w:r>
      <w:r w:rsidRPr="005C0037">
        <w:t xml:space="preserve">, Order and Notice of Proposed Rulemaking, </w:t>
      </w:r>
      <w:r>
        <w:t xml:space="preserve">33 </w:t>
      </w:r>
      <w:r w:rsidRPr="00D73DFE">
        <w:t>FCC Rcd 6915, 6916, para. 1 (2018).</w:t>
      </w:r>
    </w:p>
  </w:footnote>
  <w:footnote w:id="77">
    <w:p w:rsidR="00CD5020" w:rsidRPr="00D73DFE" w:rsidP="0034595D" w14:paraId="3E1442DE" w14:textId="7AB3685B">
      <w:pPr>
        <w:pStyle w:val="FootnoteText"/>
      </w:pPr>
      <w:r w:rsidRPr="00D73DFE">
        <w:rPr>
          <w:rStyle w:val="FootnoteReference"/>
          <w:rFonts w:eastAsia="Symbol"/>
        </w:rPr>
        <w:footnoteRef/>
      </w:r>
      <w:r w:rsidRPr="00D73DFE">
        <w:t xml:space="preserve"> </w:t>
      </w:r>
      <w:r w:rsidRPr="00D73DFE">
        <w:rPr>
          <w:i/>
        </w:rPr>
        <w:t xml:space="preserve">Id. </w:t>
      </w:r>
      <w:r w:rsidRPr="00D73DFE">
        <w:t>at 6961, para. 139.</w:t>
      </w:r>
    </w:p>
  </w:footnote>
  <w:footnote w:id="78">
    <w:p w:rsidR="00CD5020" w:rsidRPr="00D73DFE" w14:paraId="4BC9F52A" w14:textId="18BC2BE0">
      <w:pPr>
        <w:pStyle w:val="FootnoteText"/>
      </w:pPr>
      <w:r w:rsidRPr="00D73DFE">
        <w:rPr>
          <w:rStyle w:val="FootnoteReference"/>
        </w:rPr>
        <w:footnoteRef/>
      </w:r>
      <w:r w:rsidRPr="00D73DFE">
        <w:t xml:space="preserve"> </w:t>
      </w:r>
      <w:r w:rsidRPr="00D73DFE">
        <w:rPr>
          <w:i/>
          <w:iCs/>
        </w:rPr>
        <w:t>See supra</w:t>
      </w:r>
      <w:r w:rsidRPr="00D73DFE">
        <w:t xml:space="preserve"> Part IV.C.1</w:t>
      </w:r>
      <w:r>
        <w:t>.</w:t>
      </w:r>
    </w:p>
  </w:footnote>
  <w:footnote w:id="79">
    <w:p w:rsidR="00CD5020" w:rsidRPr="005C0037" w:rsidP="0034595D" w14:paraId="2A561425" w14:textId="3548F581">
      <w:pPr>
        <w:pStyle w:val="FootnoteText"/>
      </w:pPr>
      <w:r w:rsidRPr="00D73DFE">
        <w:rPr>
          <w:rStyle w:val="FootnoteReference"/>
          <w:rFonts w:eastAsia="Symbol"/>
        </w:rPr>
        <w:footnoteRef/>
      </w:r>
      <w:r w:rsidRPr="00D73DFE">
        <w:t xml:space="preserve"> </w:t>
      </w:r>
      <w:r w:rsidRPr="00D73DFE">
        <w:rPr>
          <w:i/>
        </w:rPr>
        <w:t>Promoting Investment in</w:t>
      </w:r>
      <w:r w:rsidRPr="00DA373A">
        <w:rPr>
          <w:i/>
        </w:rPr>
        <w:t xml:space="preserve"> the 3550-3700 MHz Band</w:t>
      </w:r>
      <w:r w:rsidRPr="005C0037">
        <w:t>, Report and Order, FCC 18-149 (2018)</w:t>
      </w:r>
      <w:r>
        <w:t xml:space="preserve">. </w:t>
      </w:r>
    </w:p>
  </w:footnote>
  <w:footnote w:id="80">
    <w:p w:rsidR="00CD5020" w:rsidRPr="005C0037" w:rsidP="0034595D" w14:paraId="434F980C" w14:textId="1227975A">
      <w:pPr>
        <w:pStyle w:val="FootnoteText"/>
      </w:pPr>
      <w:r w:rsidRPr="005C0037">
        <w:rPr>
          <w:rStyle w:val="FootnoteReference"/>
          <w:rFonts w:eastAsia="Symbol"/>
        </w:rPr>
        <w:footnoteRef/>
      </w:r>
      <w:r w:rsidRPr="005C0037">
        <w:t xml:space="preserve"> </w:t>
      </w:r>
      <w:r>
        <w:rPr>
          <w:i/>
        </w:rPr>
        <w:t>Id.</w:t>
      </w:r>
      <w:r>
        <w:t xml:space="preserve"> at 51, para. 91.  </w:t>
      </w:r>
      <w:r>
        <w:rPr>
          <w:i/>
        </w:rPr>
        <w:t>S</w:t>
      </w:r>
      <w:r w:rsidRPr="00DA373A">
        <w:rPr>
          <w:i/>
        </w:rPr>
        <w:t xml:space="preserve">ee </w:t>
      </w:r>
      <w:r>
        <w:rPr>
          <w:i/>
        </w:rPr>
        <w:t>also</w:t>
      </w:r>
      <w:r w:rsidRPr="00DA373A">
        <w:rPr>
          <w:i/>
        </w:rPr>
        <w:t xml:space="preserve"> supra</w:t>
      </w:r>
      <w:r>
        <w:t xml:space="preserve"> Part IV.C.2 (discussing TLBCs).</w:t>
      </w:r>
    </w:p>
  </w:footnote>
  <w:footnote w:id="81">
    <w:p w:rsidR="00CD5020" w:rsidRPr="005C0037" w:rsidP="0034595D" w14:paraId="5F88DE92" w14:textId="10DBB746">
      <w:pPr>
        <w:pStyle w:val="FootnoteText"/>
      </w:pPr>
      <w:r w:rsidRPr="005C0037">
        <w:rPr>
          <w:rStyle w:val="FootnoteReference"/>
          <w:rFonts w:eastAsia="Symbol"/>
        </w:rPr>
        <w:footnoteRef/>
      </w:r>
      <w:r w:rsidRPr="005C0037">
        <w:t xml:space="preserve"> </w:t>
      </w:r>
      <w:r w:rsidRPr="00DA373A">
        <w:rPr>
          <w:i/>
        </w:rPr>
        <w:t>Unlicensed Use of the 6 GHz Band</w:t>
      </w:r>
      <w:r>
        <w:rPr>
          <w:i/>
        </w:rPr>
        <w:t xml:space="preserve"> et al.</w:t>
      </w:r>
      <w:r>
        <w:t>,</w:t>
      </w:r>
      <w:r>
        <w:rPr>
          <w:i/>
        </w:rPr>
        <w:t xml:space="preserve"> </w:t>
      </w:r>
      <w:r w:rsidRPr="005C0037">
        <w:t>Notice of Proposed Rulemaking, FCC 18-147 (2018).</w:t>
      </w:r>
    </w:p>
  </w:footnote>
  <w:footnote w:id="82">
    <w:p w:rsidR="00CD5020" w:rsidP="0034595D" w14:paraId="20CF7B8E" w14:textId="3F798AEE">
      <w:pPr>
        <w:pStyle w:val="FootnoteText"/>
      </w:pPr>
      <w:r>
        <w:rPr>
          <w:rStyle w:val="FootnoteReference"/>
          <w:rFonts w:eastAsia="Symbol"/>
        </w:rPr>
        <w:footnoteRef/>
      </w:r>
      <w:r>
        <w:t xml:space="preserve"> </w:t>
      </w:r>
      <w:r>
        <w:rPr>
          <w:i/>
        </w:rPr>
        <w:t>See e.g.</w:t>
      </w:r>
      <w:r>
        <w:t xml:space="preserve">, </w:t>
      </w:r>
      <w:r w:rsidRPr="00DA373A">
        <w:rPr>
          <w:i/>
        </w:rPr>
        <w:t>Use of Spectrum Bands Above 24 GHz for Mobile Radio Services, et al.</w:t>
      </w:r>
      <w:r w:rsidRPr="005C0037">
        <w:t>, Report and Order and Further Notice of Proposed Rulemaking, 31 FCC Rcd 8014 (2016)</w:t>
      </w:r>
      <w:r>
        <w:t xml:space="preserve"> (</w:t>
      </w:r>
      <w:r w:rsidRPr="00DA373A">
        <w:rPr>
          <w:i/>
        </w:rPr>
        <w:t>Spectrum Frontiers Report and Order</w:t>
      </w:r>
      <w:r>
        <w:t xml:space="preserve">); </w:t>
      </w:r>
      <w:r w:rsidRPr="00DA373A">
        <w:rPr>
          <w:i/>
        </w:rPr>
        <w:t>Use of Spectrum Bands Above 24 GHz For Mobile Radio Services</w:t>
      </w:r>
      <w:r w:rsidRPr="005C0037">
        <w:t xml:space="preserve">, GN Docket No. 14-177, Second Report and Order, Second Further Notice of Proposed Rulemaking, Order on Reconsideration, and Memorandum Opinion and Order, 32 FCC Rcd 10988 (2017); </w:t>
      </w:r>
      <w:r w:rsidRPr="00DA373A">
        <w:rPr>
          <w:i/>
        </w:rPr>
        <w:t>Use of Spectrum Bands Above 24 GHz For Mobile Radio Services, et al.</w:t>
      </w:r>
      <w:r w:rsidRPr="005C0037">
        <w:t>, Third Report and Order, Memorandum Opinion and Order, and Third Further Notice of Proposed Rulemaking, 33 FCC Rcd 5576 (2018);</w:t>
      </w:r>
      <w:r>
        <w:t xml:space="preserve"> </w:t>
      </w:r>
      <w:r w:rsidRPr="00F15209">
        <w:rPr>
          <w:i/>
        </w:rPr>
        <w:t>Use of Spectrum Bands Above 24 GHz For Mobile Radio Services</w:t>
      </w:r>
      <w:r w:rsidRPr="005C0037">
        <w:t>, Fourth Rep</w:t>
      </w:r>
      <w:r>
        <w:t>ort</w:t>
      </w:r>
      <w:r w:rsidRPr="005C0037">
        <w:t xml:space="preserve"> and Order, FCC 18-180</w:t>
      </w:r>
      <w:r>
        <w:t xml:space="preserve"> </w:t>
      </w:r>
      <w:r w:rsidRPr="005C0037">
        <w:t>(2018)</w:t>
      </w:r>
      <w:r>
        <w:t xml:space="preserve"> (</w:t>
      </w:r>
      <w:r w:rsidRPr="00F15209">
        <w:rPr>
          <w:i/>
        </w:rPr>
        <w:t>Spectrum Frontiers Fourth Report and Order</w:t>
      </w:r>
      <w:r>
        <w:t xml:space="preserve">).  </w:t>
      </w:r>
      <w:r>
        <w:rPr>
          <w:i/>
        </w:rPr>
        <w:t>See also</w:t>
      </w:r>
      <w:r>
        <w:t xml:space="preserve"> </w:t>
      </w:r>
      <w:r w:rsidRPr="005C0037">
        <w:t xml:space="preserve">FCC, Auction 101: Spectrum Frontiers–28 GHz, </w:t>
      </w:r>
      <w:hyperlink r:id="rId10" w:history="1">
        <w:r w:rsidRPr="005C0037">
          <w:rPr>
            <w:rStyle w:val="Hyperlink"/>
          </w:rPr>
          <w:t>https://www.fcc.gov/auction/101</w:t>
        </w:r>
      </w:hyperlink>
      <w:r w:rsidRPr="005C0037">
        <w:t xml:space="preserve">; FCC, Auction 102: Spectrum Frontiers–24 GHz, </w:t>
      </w:r>
      <w:hyperlink r:id="rId11" w:history="1">
        <w:r w:rsidRPr="005C0037">
          <w:rPr>
            <w:rStyle w:val="Hyperlink"/>
          </w:rPr>
          <w:t>https://www.fcc.gov/auction/102</w:t>
        </w:r>
      </w:hyperlink>
      <w:r w:rsidRPr="005C0037">
        <w:t>.</w:t>
      </w:r>
    </w:p>
  </w:footnote>
  <w:footnote w:id="83">
    <w:p w:rsidR="00CD5020" w:rsidRPr="005C0037" w:rsidP="0034595D" w14:paraId="52C3BB5F" w14:textId="139F967A">
      <w:pPr>
        <w:pStyle w:val="FootnoteText"/>
      </w:pPr>
      <w:r w:rsidRPr="005C0037">
        <w:rPr>
          <w:rStyle w:val="FootnoteReference"/>
          <w:rFonts w:eastAsia="Symbol"/>
        </w:rPr>
        <w:footnoteRef/>
      </w:r>
      <w:r w:rsidRPr="005C0037">
        <w:t xml:space="preserve"> </w:t>
      </w:r>
      <w:r>
        <w:rPr>
          <w:i/>
        </w:rPr>
        <w:t>See</w:t>
      </w:r>
      <w:r>
        <w:t xml:space="preserve"> </w:t>
      </w:r>
      <w:r w:rsidRPr="00DA373A">
        <w:rPr>
          <w:i/>
        </w:rPr>
        <w:t>Spectrum Frontiers Report and Order</w:t>
      </w:r>
      <w:r w:rsidRPr="005C0037">
        <w:t xml:space="preserve">, 31 FCC Rcd </w:t>
      </w:r>
      <w:r>
        <w:t xml:space="preserve">at </w:t>
      </w:r>
      <w:r w:rsidRPr="005C0037">
        <w:t>8</w:t>
      </w:r>
      <w:r>
        <w:t xml:space="preserve">100, </w:t>
      </w:r>
      <w:r w:rsidRPr="005C0037">
        <w:t>para. 253</w:t>
      </w:r>
      <w:r>
        <w:t xml:space="preserve">; </w:t>
      </w:r>
      <w:r w:rsidRPr="00F15209">
        <w:rPr>
          <w:i/>
        </w:rPr>
        <w:t>Spectrum Frontiers Fourth Report and Order</w:t>
      </w:r>
      <w:r>
        <w:t xml:space="preserve"> at 14, </w:t>
      </w:r>
      <w:r w:rsidRPr="005C0037">
        <w:t>para. 43 n.73</w:t>
      </w:r>
      <w:r>
        <w:t xml:space="preserve">; </w:t>
      </w:r>
      <w:r w:rsidRPr="00DA373A">
        <w:rPr>
          <w:i/>
        </w:rPr>
        <w:t>Auctions of Upper Microwave Flexible Use Licenses for Next-Generation Wireless Services et al.</w:t>
      </w:r>
      <w:r w:rsidRPr="00BD7138">
        <w:t xml:space="preserve">, Public Notice, </w:t>
      </w:r>
      <w:r>
        <w:t xml:space="preserve">33 FCC Rcd 7575, 7614, 7659-60, </w:t>
      </w:r>
      <w:r w:rsidRPr="005C0037">
        <w:t>paras. 104-105, 292-93</w:t>
      </w:r>
      <w:r>
        <w:t xml:space="preserve"> (</w:t>
      </w:r>
      <w:r w:rsidRPr="00BD7138">
        <w:t>2018)</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0" w:type="auto"/>
      <w:tblLayout w:type="fixed"/>
      <w:tblLook w:val="06A0"/>
    </w:tblPr>
    <w:tblGrid>
      <w:gridCol w:w="3120"/>
      <w:gridCol w:w="3120"/>
      <w:gridCol w:w="3120"/>
    </w:tblGrid>
    <w:tr w14:paraId="06BD869D" w14:textId="77777777" w:rsidTr="7E0E2CC5">
      <w:tblPrEx>
        <w:tblW w:w="0" w:type="auto"/>
        <w:tblLayout w:type="fixed"/>
        <w:tblLook w:val="06A0"/>
      </w:tblPrEx>
      <w:tc>
        <w:tcPr>
          <w:tcW w:w="3120" w:type="dxa"/>
        </w:tcPr>
        <w:p w:rsidR="00CD5020" w:rsidP="00D03464" w14:paraId="3CFD244B" w14:textId="36DEF512">
          <w:pPr>
            <w:pStyle w:val="Header"/>
            <w:ind w:left="-115"/>
          </w:pPr>
        </w:p>
      </w:tc>
      <w:tc>
        <w:tcPr>
          <w:tcW w:w="3120" w:type="dxa"/>
        </w:tcPr>
        <w:p w:rsidR="00CD5020" w:rsidP="00D03464" w14:paraId="2AF28EFA" w14:textId="561FE51F">
          <w:pPr>
            <w:pStyle w:val="Header"/>
            <w:jc w:val="center"/>
          </w:pPr>
        </w:p>
      </w:tc>
      <w:tc>
        <w:tcPr>
          <w:tcW w:w="3120" w:type="dxa"/>
        </w:tcPr>
        <w:p w:rsidR="00CD5020" w:rsidP="00D03464" w14:paraId="60F18637" w14:textId="11DEE12F">
          <w:pPr>
            <w:pStyle w:val="Header"/>
            <w:ind w:right="-115"/>
            <w:jc w:val="right"/>
          </w:pPr>
        </w:p>
      </w:tc>
    </w:tr>
  </w:tbl>
  <w:p w:rsidR="00CD5020" w:rsidP="00D03464" w14:paraId="25314727" w14:textId="1A7390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0" w:type="auto"/>
      <w:tblLayout w:type="fixed"/>
      <w:tblLook w:val="06A0"/>
    </w:tblPr>
    <w:tblGrid>
      <w:gridCol w:w="3120"/>
      <w:gridCol w:w="3120"/>
      <w:gridCol w:w="3120"/>
    </w:tblGrid>
    <w:tr w14:paraId="63BF8A80" w14:textId="77777777" w:rsidTr="7E0E2CC5">
      <w:tblPrEx>
        <w:tblW w:w="0" w:type="auto"/>
        <w:tblLayout w:type="fixed"/>
        <w:tblLook w:val="06A0"/>
      </w:tblPrEx>
      <w:tc>
        <w:tcPr>
          <w:tcW w:w="3120" w:type="dxa"/>
        </w:tcPr>
        <w:p w:rsidR="00CD5020" w:rsidP="00D03464" w14:paraId="05C39621" w14:textId="4165B1FE">
          <w:pPr>
            <w:pStyle w:val="Header"/>
            <w:ind w:left="-115"/>
          </w:pPr>
        </w:p>
      </w:tc>
      <w:tc>
        <w:tcPr>
          <w:tcW w:w="3120" w:type="dxa"/>
        </w:tcPr>
        <w:p w:rsidR="00CD5020" w:rsidP="00D03464" w14:paraId="20E4E364" w14:textId="79CA25AE">
          <w:pPr>
            <w:pStyle w:val="Header"/>
            <w:jc w:val="center"/>
          </w:pPr>
        </w:p>
      </w:tc>
      <w:tc>
        <w:tcPr>
          <w:tcW w:w="3120" w:type="dxa"/>
        </w:tcPr>
        <w:p w:rsidR="00CD5020" w:rsidP="00D03464" w14:paraId="671757DB" w14:textId="4858312F">
          <w:pPr>
            <w:pStyle w:val="Header"/>
            <w:ind w:right="-115"/>
            <w:jc w:val="right"/>
          </w:pPr>
        </w:p>
      </w:tc>
    </w:tr>
  </w:tbl>
  <w:p w:rsidR="00CD5020" w:rsidP="00D03464" w14:paraId="0CF20CF7" w14:textId="16B9E0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D5020" w:rsidRPr="0014785D" w:rsidP="0014785D" w14:paraId="689C51CB" w14:textId="301DE2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D5020" w:rsidP="0014785D" w14:paraId="750107E0" w14:textId="752A99B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D5020" w:rsidP="0014785D" w14:paraId="5FC5EC7F" w14:textId="0D05CB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1224A8"/>
    <w:multiLevelType w:val="hybridMultilevel"/>
    <w:tmpl w:val="79E4BB8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84B453C"/>
    <w:multiLevelType w:val="singleLevel"/>
    <w:tmpl w:val="40A8E97A"/>
    <w:lvl w:ilvl="0">
      <w:start w:val="1"/>
      <w:numFmt w:val="decimal"/>
      <w:lvlText w:val="%1."/>
      <w:lvlJc w:val="left"/>
      <w:pPr>
        <w:tabs>
          <w:tab w:val="num" w:pos="1080"/>
        </w:tabs>
        <w:ind w:left="0" w:firstLine="720"/>
      </w:pPr>
    </w:lvl>
  </w:abstractNum>
  <w:abstractNum w:abstractNumId="2">
    <w:nsid w:val="14A81DCD"/>
    <w:multiLevelType w:val="hybridMultilevel"/>
    <w:tmpl w:val="F52410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21310A14"/>
    <w:multiLevelType w:val="hybridMultilevel"/>
    <w:tmpl w:val="8F984158"/>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5">
    <w:nsid w:val="248246F3"/>
    <w:multiLevelType w:val="singleLevel"/>
    <w:tmpl w:val="B1F45678"/>
    <w:lvl w:ilvl="0">
      <w:start w:val="1"/>
      <w:numFmt w:val="decimal"/>
      <w:lvlText w:val="%1."/>
      <w:lvlJc w:val="left"/>
      <w:pPr>
        <w:tabs>
          <w:tab w:val="num" w:pos="1080"/>
        </w:tabs>
        <w:ind w:left="0" w:firstLine="720"/>
      </w:pPr>
    </w:lvl>
  </w:abstractNum>
  <w:abstractNum w:abstractNumId="6">
    <w:nsid w:val="27E06CBB"/>
    <w:multiLevelType w:val="multilevel"/>
    <w:tmpl w:val="F1A86982"/>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7">
    <w:nsid w:val="27F3604D"/>
    <w:multiLevelType w:val="hybridMultilevel"/>
    <w:tmpl w:val="8598923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7586C29"/>
    <w:multiLevelType w:val="hybridMultilevel"/>
    <w:tmpl w:val="6E0C55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A6B6A39"/>
    <w:multiLevelType w:val="hybridMultilevel"/>
    <w:tmpl w:val="50D8CA6C"/>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nsid w:val="3CD042C1"/>
    <w:multiLevelType w:val="hybridMultilevel"/>
    <w:tmpl w:val="6270D4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3CE85CA5"/>
    <w:multiLevelType w:val="hybridMultilevel"/>
    <w:tmpl w:val="DA34A902"/>
    <w:styleLink w:val="ImportedStyle2"/>
    <w:lvl w:ilvl="0">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nsid w:val="443F5F6B"/>
    <w:multiLevelType w:val="hybridMultilevel"/>
    <w:tmpl w:val="0C0EEABE"/>
    <w:numStyleLink w:val="ImportedStyle1"/>
    <w:lvl w:ilvl="0">
      <w:start w:val="1"/>
      <w:numFmt w:val="decim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13">
    <w:nsid w:val="44901D62"/>
    <w:multiLevelType w:val="hybridMultilevel"/>
    <w:tmpl w:val="DA34A902"/>
    <w:numStyleLink w:val="ImportedStyle2"/>
    <w:lvl w:ilvl="0">
      <w:start w:val="1"/>
      <w:numFmt w:val="decim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14">
    <w:nsid w:val="4A6B37E2"/>
    <w:multiLevelType w:val="hybridMultilevel"/>
    <w:tmpl w:val="0C0EEABE"/>
    <w:styleLink w:val="ImportedStyle1"/>
    <w:lvl w:ilvl="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6">
    <w:nsid w:val="5EE12631"/>
    <w:multiLevelType w:val="hybridMultilevel"/>
    <w:tmpl w:val="B642B9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61182925"/>
    <w:multiLevelType w:val="singleLevel"/>
    <w:tmpl w:val="A9EE9842"/>
    <w:lvl w:ilvl="0">
      <w:start w:val="1"/>
      <w:numFmt w:val="decimal"/>
      <w:pStyle w:val="ParaNum"/>
      <w:lvlText w:val="%1."/>
      <w:lvlJc w:val="left"/>
      <w:pPr>
        <w:tabs>
          <w:tab w:val="num" w:pos="1080"/>
        </w:tabs>
        <w:ind w:left="0" w:firstLine="720"/>
      </w:pPr>
    </w:lvl>
  </w:abstractNum>
  <w:abstractNum w:abstractNumId="18">
    <w:nsid w:val="72394C4A"/>
    <w:multiLevelType w:val="hybridMultilevel"/>
    <w:tmpl w:val="0EA2C38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num w:numId="1">
    <w:abstractNumId w:val="11"/>
  </w:num>
  <w:num w:numId="2">
    <w:abstractNumId w:val="13"/>
  </w:num>
  <w:num w:numId="3">
    <w:abstractNumId w:val="14"/>
  </w:num>
  <w:num w:numId="4">
    <w:abstractNumId w:val="12"/>
  </w:num>
  <w:num w:numId="5">
    <w:abstractNumId w:val="18"/>
  </w:num>
  <w:num w:numId="6">
    <w:abstractNumId w:val="16"/>
  </w:num>
  <w:num w:numId="7">
    <w:abstractNumId w:val="17"/>
  </w:num>
  <w:num w:numId="8">
    <w:abstractNumId w:val="8"/>
  </w:num>
  <w:num w:numId="9">
    <w:abstractNumId w:val="3"/>
  </w:num>
  <w:num w:numId="10">
    <w:abstractNumId w:val="9"/>
  </w:num>
  <w:num w:numId="11">
    <w:abstractNumId w:val="7"/>
  </w:num>
  <w:num w:numId="12">
    <w:abstractNumId w:val="10"/>
  </w:num>
  <w:num w:numId="13">
    <w:abstractNumId w:val="4"/>
  </w:num>
  <w:num w:numId="14">
    <w:abstractNumId w:val="6"/>
  </w:num>
  <w:num w:numId="15">
    <w:abstractNumId w:val="15"/>
  </w:num>
  <w:num w:numId="16">
    <w:abstractNumId w:val="5"/>
  </w:num>
  <w:num w:numId="17">
    <w:abstractNumId w:val="1"/>
  </w:num>
  <w:num w:numId="18">
    <w:abstractNumId w:val="2"/>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linkStyles/>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B76"/>
    <w:rsid w:val="0000070F"/>
    <w:rsid w:val="00001592"/>
    <w:rsid w:val="000033F9"/>
    <w:rsid w:val="00004566"/>
    <w:rsid w:val="00005292"/>
    <w:rsid w:val="00005C69"/>
    <w:rsid w:val="000065C8"/>
    <w:rsid w:val="00006803"/>
    <w:rsid w:val="000135D3"/>
    <w:rsid w:val="000148BC"/>
    <w:rsid w:val="0001584B"/>
    <w:rsid w:val="00016590"/>
    <w:rsid w:val="00017E5B"/>
    <w:rsid w:val="000204CE"/>
    <w:rsid w:val="00020ABE"/>
    <w:rsid w:val="00020CA9"/>
    <w:rsid w:val="00021CCD"/>
    <w:rsid w:val="00023C9D"/>
    <w:rsid w:val="00025D2F"/>
    <w:rsid w:val="00026C82"/>
    <w:rsid w:val="00026F56"/>
    <w:rsid w:val="00030D8C"/>
    <w:rsid w:val="00030E25"/>
    <w:rsid w:val="000311E1"/>
    <w:rsid w:val="000328FF"/>
    <w:rsid w:val="00033A9B"/>
    <w:rsid w:val="00033EA8"/>
    <w:rsid w:val="00034746"/>
    <w:rsid w:val="00040A7B"/>
    <w:rsid w:val="00041302"/>
    <w:rsid w:val="0004154D"/>
    <w:rsid w:val="00041D16"/>
    <w:rsid w:val="000425A3"/>
    <w:rsid w:val="00042D58"/>
    <w:rsid w:val="000439C0"/>
    <w:rsid w:val="00044D47"/>
    <w:rsid w:val="00050563"/>
    <w:rsid w:val="00050E02"/>
    <w:rsid w:val="000524DA"/>
    <w:rsid w:val="00053665"/>
    <w:rsid w:val="0005473E"/>
    <w:rsid w:val="00054A19"/>
    <w:rsid w:val="000569BD"/>
    <w:rsid w:val="00057C53"/>
    <w:rsid w:val="00067054"/>
    <w:rsid w:val="00070F74"/>
    <w:rsid w:val="000732D5"/>
    <w:rsid w:val="00074337"/>
    <w:rsid w:val="00074D81"/>
    <w:rsid w:val="00080350"/>
    <w:rsid w:val="0008238B"/>
    <w:rsid w:val="000828E8"/>
    <w:rsid w:val="00083BC3"/>
    <w:rsid w:val="00083E4C"/>
    <w:rsid w:val="00086281"/>
    <w:rsid w:val="000878FF"/>
    <w:rsid w:val="000919BA"/>
    <w:rsid w:val="00092202"/>
    <w:rsid w:val="00093B0A"/>
    <w:rsid w:val="00095DE5"/>
    <w:rsid w:val="000A02FD"/>
    <w:rsid w:val="000A5764"/>
    <w:rsid w:val="000A6057"/>
    <w:rsid w:val="000B1033"/>
    <w:rsid w:val="000B11C5"/>
    <w:rsid w:val="000B20C0"/>
    <w:rsid w:val="000B2B08"/>
    <w:rsid w:val="000B5767"/>
    <w:rsid w:val="000B5C28"/>
    <w:rsid w:val="000B5E8A"/>
    <w:rsid w:val="000B6974"/>
    <w:rsid w:val="000C23FA"/>
    <w:rsid w:val="000C296C"/>
    <w:rsid w:val="000C4C17"/>
    <w:rsid w:val="000C7BA2"/>
    <w:rsid w:val="000D0239"/>
    <w:rsid w:val="000D2030"/>
    <w:rsid w:val="000D2736"/>
    <w:rsid w:val="000D2C96"/>
    <w:rsid w:val="000D3341"/>
    <w:rsid w:val="000D42DB"/>
    <w:rsid w:val="000D56B5"/>
    <w:rsid w:val="000D5A9B"/>
    <w:rsid w:val="000D5B96"/>
    <w:rsid w:val="000D6B92"/>
    <w:rsid w:val="000D7DBE"/>
    <w:rsid w:val="000E019F"/>
    <w:rsid w:val="000E03A5"/>
    <w:rsid w:val="000E3518"/>
    <w:rsid w:val="000E5B37"/>
    <w:rsid w:val="000E718B"/>
    <w:rsid w:val="00100103"/>
    <w:rsid w:val="0010604C"/>
    <w:rsid w:val="001079A1"/>
    <w:rsid w:val="00107B32"/>
    <w:rsid w:val="00110009"/>
    <w:rsid w:val="00111048"/>
    <w:rsid w:val="00112019"/>
    <w:rsid w:val="001127FA"/>
    <w:rsid w:val="00113A5E"/>
    <w:rsid w:val="00115DA7"/>
    <w:rsid w:val="00117265"/>
    <w:rsid w:val="00120418"/>
    <w:rsid w:val="00125823"/>
    <w:rsid w:val="00126082"/>
    <w:rsid w:val="00126A2F"/>
    <w:rsid w:val="00126B35"/>
    <w:rsid w:val="00134A03"/>
    <w:rsid w:val="00135BC0"/>
    <w:rsid w:val="00137ACA"/>
    <w:rsid w:val="00140798"/>
    <w:rsid w:val="001408D3"/>
    <w:rsid w:val="00141C42"/>
    <w:rsid w:val="00145BAF"/>
    <w:rsid w:val="00146F47"/>
    <w:rsid w:val="0014785D"/>
    <w:rsid w:val="0014786A"/>
    <w:rsid w:val="00152740"/>
    <w:rsid w:val="00155D10"/>
    <w:rsid w:val="001566DC"/>
    <w:rsid w:val="001641E8"/>
    <w:rsid w:val="00164746"/>
    <w:rsid w:val="001736E9"/>
    <w:rsid w:val="00173AC9"/>
    <w:rsid w:val="0017498F"/>
    <w:rsid w:val="00180184"/>
    <w:rsid w:val="0018240E"/>
    <w:rsid w:val="001830CB"/>
    <w:rsid w:val="00184E63"/>
    <w:rsid w:val="00186CA9"/>
    <w:rsid w:val="001916CB"/>
    <w:rsid w:val="0019254D"/>
    <w:rsid w:val="00193BF2"/>
    <w:rsid w:val="00193F9C"/>
    <w:rsid w:val="00194CB6"/>
    <w:rsid w:val="00196286"/>
    <w:rsid w:val="00196A9D"/>
    <w:rsid w:val="001A12E0"/>
    <w:rsid w:val="001A22B5"/>
    <w:rsid w:val="001A27D3"/>
    <w:rsid w:val="001A2943"/>
    <w:rsid w:val="001A3027"/>
    <w:rsid w:val="001A3D08"/>
    <w:rsid w:val="001A6DB9"/>
    <w:rsid w:val="001A796A"/>
    <w:rsid w:val="001B0C0F"/>
    <w:rsid w:val="001B1D18"/>
    <w:rsid w:val="001B3B09"/>
    <w:rsid w:val="001B4931"/>
    <w:rsid w:val="001B5123"/>
    <w:rsid w:val="001B54E9"/>
    <w:rsid w:val="001B7817"/>
    <w:rsid w:val="001C0208"/>
    <w:rsid w:val="001C48FC"/>
    <w:rsid w:val="001C650B"/>
    <w:rsid w:val="001C6F1B"/>
    <w:rsid w:val="001C7611"/>
    <w:rsid w:val="001D020C"/>
    <w:rsid w:val="001D0392"/>
    <w:rsid w:val="001D0BD4"/>
    <w:rsid w:val="001D1BAC"/>
    <w:rsid w:val="001D2127"/>
    <w:rsid w:val="001D325E"/>
    <w:rsid w:val="001D3B6F"/>
    <w:rsid w:val="001D62E4"/>
    <w:rsid w:val="001E00B2"/>
    <w:rsid w:val="001E040D"/>
    <w:rsid w:val="001E0D17"/>
    <w:rsid w:val="001E1E20"/>
    <w:rsid w:val="001E2111"/>
    <w:rsid w:val="001E26F7"/>
    <w:rsid w:val="001E38FE"/>
    <w:rsid w:val="001E5829"/>
    <w:rsid w:val="001E5BE4"/>
    <w:rsid w:val="001E5EC4"/>
    <w:rsid w:val="001E5EDA"/>
    <w:rsid w:val="001F02AA"/>
    <w:rsid w:val="001F0861"/>
    <w:rsid w:val="001F1F95"/>
    <w:rsid w:val="001F5F17"/>
    <w:rsid w:val="002027D7"/>
    <w:rsid w:val="0020349F"/>
    <w:rsid w:val="00203BDB"/>
    <w:rsid w:val="00203D42"/>
    <w:rsid w:val="00210D93"/>
    <w:rsid w:val="00211CCF"/>
    <w:rsid w:val="00212F21"/>
    <w:rsid w:val="0021342F"/>
    <w:rsid w:val="00214208"/>
    <w:rsid w:val="002145E5"/>
    <w:rsid w:val="00214D73"/>
    <w:rsid w:val="00215E4E"/>
    <w:rsid w:val="00217210"/>
    <w:rsid w:val="00217DF9"/>
    <w:rsid w:val="002204B6"/>
    <w:rsid w:val="002211A3"/>
    <w:rsid w:val="00221FCA"/>
    <w:rsid w:val="002221A6"/>
    <w:rsid w:val="002229AB"/>
    <w:rsid w:val="002234B0"/>
    <w:rsid w:val="00224AD4"/>
    <w:rsid w:val="00226A4F"/>
    <w:rsid w:val="00227CA4"/>
    <w:rsid w:val="00230B8F"/>
    <w:rsid w:val="00230C6A"/>
    <w:rsid w:val="0023409F"/>
    <w:rsid w:val="002340E2"/>
    <w:rsid w:val="002347E2"/>
    <w:rsid w:val="002353EC"/>
    <w:rsid w:val="00235C60"/>
    <w:rsid w:val="00235E7E"/>
    <w:rsid w:val="00236442"/>
    <w:rsid w:val="002373D2"/>
    <w:rsid w:val="00237662"/>
    <w:rsid w:val="002415F2"/>
    <w:rsid w:val="00242FF7"/>
    <w:rsid w:val="002460B8"/>
    <w:rsid w:val="002518FA"/>
    <w:rsid w:val="00251F0B"/>
    <w:rsid w:val="00251FD9"/>
    <w:rsid w:val="00252267"/>
    <w:rsid w:val="00254F59"/>
    <w:rsid w:val="002556F6"/>
    <w:rsid w:val="0025661E"/>
    <w:rsid w:val="00256881"/>
    <w:rsid w:val="002641C6"/>
    <w:rsid w:val="002652AA"/>
    <w:rsid w:val="002679D7"/>
    <w:rsid w:val="0027077E"/>
    <w:rsid w:val="00271E09"/>
    <w:rsid w:val="00272B23"/>
    <w:rsid w:val="00273698"/>
    <w:rsid w:val="00274A84"/>
    <w:rsid w:val="00275C9A"/>
    <w:rsid w:val="0027627B"/>
    <w:rsid w:val="00276289"/>
    <w:rsid w:val="00276667"/>
    <w:rsid w:val="002777B3"/>
    <w:rsid w:val="00277BCC"/>
    <w:rsid w:val="00277D92"/>
    <w:rsid w:val="00277F69"/>
    <w:rsid w:val="002814F6"/>
    <w:rsid w:val="002840BC"/>
    <w:rsid w:val="002844E7"/>
    <w:rsid w:val="002904B1"/>
    <w:rsid w:val="002919C4"/>
    <w:rsid w:val="00296AD5"/>
    <w:rsid w:val="00297798"/>
    <w:rsid w:val="00297B67"/>
    <w:rsid w:val="002A11BB"/>
    <w:rsid w:val="002A41B1"/>
    <w:rsid w:val="002A6157"/>
    <w:rsid w:val="002A6AFE"/>
    <w:rsid w:val="002B0657"/>
    <w:rsid w:val="002B22E1"/>
    <w:rsid w:val="002B5C10"/>
    <w:rsid w:val="002B7F12"/>
    <w:rsid w:val="002C4D78"/>
    <w:rsid w:val="002C594D"/>
    <w:rsid w:val="002C6031"/>
    <w:rsid w:val="002C6D21"/>
    <w:rsid w:val="002C7A65"/>
    <w:rsid w:val="002D0952"/>
    <w:rsid w:val="002D0CBA"/>
    <w:rsid w:val="002D1BD7"/>
    <w:rsid w:val="002D43F2"/>
    <w:rsid w:val="002D46E0"/>
    <w:rsid w:val="002D4914"/>
    <w:rsid w:val="002D4A8F"/>
    <w:rsid w:val="002E20F5"/>
    <w:rsid w:val="002E2DB5"/>
    <w:rsid w:val="002E3FF9"/>
    <w:rsid w:val="002E535A"/>
    <w:rsid w:val="002E6CD2"/>
    <w:rsid w:val="002E7A20"/>
    <w:rsid w:val="002F3469"/>
    <w:rsid w:val="002F4136"/>
    <w:rsid w:val="002F69C9"/>
    <w:rsid w:val="003017AE"/>
    <w:rsid w:val="003063BF"/>
    <w:rsid w:val="00306DEA"/>
    <w:rsid w:val="003074F0"/>
    <w:rsid w:val="003124CE"/>
    <w:rsid w:val="0031269E"/>
    <w:rsid w:val="00316FA5"/>
    <w:rsid w:val="00317F62"/>
    <w:rsid w:val="0032042C"/>
    <w:rsid w:val="00320C62"/>
    <w:rsid w:val="00321ABB"/>
    <w:rsid w:val="0032290B"/>
    <w:rsid w:val="003239CC"/>
    <w:rsid w:val="0032489E"/>
    <w:rsid w:val="00326392"/>
    <w:rsid w:val="00326E2A"/>
    <w:rsid w:val="003272A2"/>
    <w:rsid w:val="003276D9"/>
    <w:rsid w:val="0033099B"/>
    <w:rsid w:val="003329A9"/>
    <w:rsid w:val="00333873"/>
    <w:rsid w:val="0033497E"/>
    <w:rsid w:val="003354BB"/>
    <w:rsid w:val="00335D03"/>
    <w:rsid w:val="00336E55"/>
    <w:rsid w:val="00337F49"/>
    <w:rsid w:val="0034081A"/>
    <w:rsid w:val="003432D4"/>
    <w:rsid w:val="003439EC"/>
    <w:rsid w:val="00344EE7"/>
    <w:rsid w:val="0034595D"/>
    <w:rsid w:val="00345F3C"/>
    <w:rsid w:val="00346B32"/>
    <w:rsid w:val="0034766C"/>
    <w:rsid w:val="00350EAE"/>
    <w:rsid w:val="003522FF"/>
    <w:rsid w:val="003555A2"/>
    <w:rsid w:val="00357986"/>
    <w:rsid w:val="00357CC0"/>
    <w:rsid w:val="003614F6"/>
    <w:rsid w:val="00363FFD"/>
    <w:rsid w:val="00366B16"/>
    <w:rsid w:val="0037288E"/>
    <w:rsid w:val="003737CF"/>
    <w:rsid w:val="00374484"/>
    <w:rsid w:val="003761AF"/>
    <w:rsid w:val="00376546"/>
    <w:rsid w:val="003768A2"/>
    <w:rsid w:val="00377BF0"/>
    <w:rsid w:val="00380721"/>
    <w:rsid w:val="00383D03"/>
    <w:rsid w:val="0038550B"/>
    <w:rsid w:val="00385589"/>
    <w:rsid w:val="003905B1"/>
    <w:rsid w:val="003916CC"/>
    <w:rsid w:val="00393B13"/>
    <w:rsid w:val="00394FB5"/>
    <w:rsid w:val="00395619"/>
    <w:rsid w:val="00395ADA"/>
    <w:rsid w:val="00395ED0"/>
    <w:rsid w:val="003978AB"/>
    <w:rsid w:val="00397ADA"/>
    <w:rsid w:val="003A026C"/>
    <w:rsid w:val="003A2B90"/>
    <w:rsid w:val="003A2DC3"/>
    <w:rsid w:val="003A2ECC"/>
    <w:rsid w:val="003A2F1F"/>
    <w:rsid w:val="003A389A"/>
    <w:rsid w:val="003A3B99"/>
    <w:rsid w:val="003A4067"/>
    <w:rsid w:val="003A42F9"/>
    <w:rsid w:val="003A4531"/>
    <w:rsid w:val="003B1542"/>
    <w:rsid w:val="003B267B"/>
    <w:rsid w:val="003B2861"/>
    <w:rsid w:val="003B63F2"/>
    <w:rsid w:val="003B66F0"/>
    <w:rsid w:val="003C0412"/>
    <w:rsid w:val="003C15DB"/>
    <w:rsid w:val="003C165D"/>
    <w:rsid w:val="003C297C"/>
    <w:rsid w:val="003C505A"/>
    <w:rsid w:val="003C6CD2"/>
    <w:rsid w:val="003C7021"/>
    <w:rsid w:val="003D153C"/>
    <w:rsid w:val="003D2629"/>
    <w:rsid w:val="003D486D"/>
    <w:rsid w:val="003D51E0"/>
    <w:rsid w:val="003D5556"/>
    <w:rsid w:val="003D55F7"/>
    <w:rsid w:val="003D5EE4"/>
    <w:rsid w:val="003E0699"/>
    <w:rsid w:val="003E0BD6"/>
    <w:rsid w:val="003E1040"/>
    <w:rsid w:val="003E176C"/>
    <w:rsid w:val="003E1932"/>
    <w:rsid w:val="003E1B00"/>
    <w:rsid w:val="003E386C"/>
    <w:rsid w:val="003E3E02"/>
    <w:rsid w:val="003E5CDA"/>
    <w:rsid w:val="003E5EDB"/>
    <w:rsid w:val="003E6093"/>
    <w:rsid w:val="003E7CE2"/>
    <w:rsid w:val="003F0E6C"/>
    <w:rsid w:val="003F148B"/>
    <w:rsid w:val="003F35A9"/>
    <w:rsid w:val="003F3A92"/>
    <w:rsid w:val="003F60C9"/>
    <w:rsid w:val="004003FD"/>
    <w:rsid w:val="004035EC"/>
    <w:rsid w:val="00406D5A"/>
    <w:rsid w:val="0040766D"/>
    <w:rsid w:val="00407C55"/>
    <w:rsid w:val="00410554"/>
    <w:rsid w:val="0041178F"/>
    <w:rsid w:val="00412C03"/>
    <w:rsid w:val="00412E0C"/>
    <w:rsid w:val="00415D33"/>
    <w:rsid w:val="00417CE4"/>
    <w:rsid w:val="004204E1"/>
    <w:rsid w:val="00424B93"/>
    <w:rsid w:val="004255A4"/>
    <w:rsid w:val="00427A2D"/>
    <w:rsid w:val="00430B9D"/>
    <w:rsid w:val="0043122B"/>
    <w:rsid w:val="00431FCF"/>
    <w:rsid w:val="00433DAD"/>
    <w:rsid w:val="00434CBA"/>
    <w:rsid w:val="004350DE"/>
    <w:rsid w:val="00436927"/>
    <w:rsid w:val="00437E9F"/>
    <w:rsid w:val="004400E1"/>
    <w:rsid w:val="00440124"/>
    <w:rsid w:val="00441FA3"/>
    <w:rsid w:val="00442CB0"/>
    <w:rsid w:val="00444AC7"/>
    <w:rsid w:val="00446963"/>
    <w:rsid w:val="0045154E"/>
    <w:rsid w:val="004524EA"/>
    <w:rsid w:val="00452B42"/>
    <w:rsid w:val="00453C33"/>
    <w:rsid w:val="00455057"/>
    <w:rsid w:val="004550C6"/>
    <w:rsid w:val="00465D35"/>
    <w:rsid w:val="00465E20"/>
    <w:rsid w:val="004674B2"/>
    <w:rsid w:val="00467EC0"/>
    <w:rsid w:val="00472425"/>
    <w:rsid w:val="004732F7"/>
    <w:rsid w:val="00475B04"/>
    <w:rsid w:val="00476910"/>
    <w:rsid w:val="004806B7"/>
    <w:rsid w:val="004848FA"/>
    <w:rsid w:val="004849D5"/>
    <w:rsid w:val="00486C30"/>
    <w:rsid w:val="00487C67"/>
    <w:rsid w:val="00491FBD"/>
    <w:rsid w:val="00493C16"/>
    <w:rsid w:val="00494721"/>
    <w:rsid w:val="00497191"/>
    <w:rsid w:val="00497863"/>
    <w:rsid w:val="00497E31"/>
    <w:rsid w:val="004A11AD"/>
    <w:rsid w:val="004A1919"/>
    <w:rsid w:val="004A27E9"/>
    <w:rsid w:val="004A2C5D"/>
    <w:rsid w:val="004A2FAD"/>
    <w:rsid w:val="004A3349"/>
    <w:rsid w:val="004A3E40"/>
    <w:rsid w:val="004A3FBC"/>
    <w:rsid w:val="004A4CA2"/>
    <w:rsid w:val="004A6940"/>
    <w:rsid w:val="004B022A"/>
    <w:rsid w:val="004B1D5C"/>
    <w:rsid w:val="004B603E"/>
    <w:rsid w:val="004B61C0"/>
    <w:rsid w:val="004B67A8"/>
    <w:rsid w:val="004B6D07"/>
    <w:rsid w:val="004C11B5"/>
    <w:rsid w:val="004C15D7"/>
    <w:rsid w:val="004C202F"/>
    <w:rsid w:val="004C2259"/>
    <w:rsid w:val="004C31BE"/>
    <w:rsid w:val="004C3255"/>
    <w:rsid w:val="004C4BFB"/>
    <w:rsid w:val="004C4C99"/>
    <w:rsid w:val="004C5FCF"/>
    <w:rsid w:val="004C60F0"/>
    <w:rsid w:val="004C7B76"/>
    <w:rsid w:val="004D317E"/>
    <w:rsid w:val="004D53F0"/>
    <w:rsid w:val="004E0D38"/>
    <w:rsid w:val="004E1AD8"/>
    <w:rsid w:val="004E2D94"/>
    <w:rsid w:val="004E44E9"/>
    <w:rsid w:val="004E635F"/>
    <w:rsid w:val="004E77A1"/>
    <w:rsid w:val="004F0458"/>
    <w:rsid w:val="004F074C"/>
    <w:rsid w:val="004F2205"/>
    <w:rsid w:val="004F3045"/>
    <w:rsid w:val="004F6724"/>
    <w:rsid w:val="004F756E"/>
    <w:rsid w:val="0050085A"/>
    <w:rsid w:val="00501501"/>
    <w:rsid w:val="00501D8D"/>
    <w:rsid w:val="0050357F"/>
    <w:rsid w:val="005047DC"/>
    <w:rsid w:val="00505213"/>
    <w:rsid w:val="00507381"/>
    <w:rsid w:val="005073B2"/>
    <w:rsid w:val="00507969"/>
    <w:rsid w:val="00507F59"/>
    <w:rsid w:val="00511F7A"/>
    <w:rsid w:val="00514AAA"/>
    <w:rsid w:val="00514BBB"/>
    <w:rsid w:val="00514F63"/>
    <w:rsid w:val="00515707"/>
    <w:rsid w:val="00515D79"/>
    <w:rsid w:val="00516D57"/>
    <w:rsid w:val="00520281"/>
    <w:rsid w:val="0052034F"/>
    <w:rsid w:val="00521381"/>
    <w:rsid w:val="005213E6"/>
    <w:rsid w:val="005223C1"/>
    <w:rsid w:val="0052319F"/>
    <w:rsid w:val="005231C4"/>
    <w:rsid w:val="00524665"/>
    <w:rsid w:val="0052490C"/>
    <w:rsid w:val="00525817"/>
    <w:rsid w:val="00525ADE"/>
    <w:rsid w:val="00525DD8"/>
    <w:rsid w:val="005268A3"/>
    <w:rsid w:val="00526D03"/>
    <w:rsid w:val="00526EC3"/>
    <w:rsid w:val="0053166F"/>
    <w:rsid w:val="0053559F"/>
    <w:rsid w:val="005407F9"/>
    <w:rsid w:val="0054175B"/>
    <w:rsid w:val="005430DA"/>
    <w:rsid w:val="00545EE2"/>
    <w:rsid w:val="00547B28"/>
    <w:rsid w:val="0055028A"/>
    <w:rsid w:val="0055200C"/>
    <w:rsid w:val="0055237F"/>
    <w:rsid w:val="00553007"/>
    <w:rsid w:val="005540BD"/>
    <w:rsid w:val="005567B7"/>
    <w:rsid w:val="00560686"/>
    <w:rsid w:val="00562963"/>
    <w:rsid w:val="005643A6"/>
    <w:rsid w:val="00564D79"/>
    <w:rsid w:val="00565031"/>
    <w:rsid w:val="00566694"/>
    <w:rsid w:val="005716BA"/>
    <w:rsid w:val="00574606"/>
    <w:rsid w:val="00576FC9"/>
    <w:rsid w:val="00577A83"/>
    <w:rsid w:val="00581E5A"/>
    <w:rsid w:val="00582CF7"/>
    <w:rsid w:val="00584D36"/>
    <w:rsid w:val="00585364"/>
    <w:rsid w:val="00585DBF"/>
    <w:rsid w:val="005864B1"/>
    <w:rsid w:val="00586ED1"/>
    <w:rsid w:val="005878E6"/>
    <w:rsid w:val="00587F30"/>
    <w:rsid w:val="00590BCB"/>
    <w:rsid w:val="0059120E"/>
    <w:rsid w:val="00591C26"/>
    <w:rsid w:val="005958F2"/>
    <w:rsid w:val="00597A0D"/>
    <w:rsid w:val="005A037C"/>
    <w:rsid w:val="005A0736"/>
    <w:rsid w:val="005A1EB1"/>
    <w:rsid w:val="005A24D1"/>
    <w:rsid w:val="005A52A9"/>
    <w:rsid w:val="005A5C42"/>
    <w:rsid w:val="005A648E"/>
    <w:rsid w:val="005A675A"/>
    <w:rsid w:val="005A71E2"/>
    <w:rsid w:val="005A752A"/>
    <w:rsid w:val="005B025C"/>
    <w:rsid w:val="005B1422"/>
    <w:rsid w:val="005B1C46"/>
    <w:rsid w:val="005B2957"/>
    <w:rsid w:val="005B2A0D"/>
    <w:rsid w:val="005B2F7E"/>
    <w:rsid w:val="005B4B9E"/>
    <w:rsid w:val="005B54C2"/>
    <w:rsid w:val="005B5728"/>
    <w:rsid w:val="005B684D"/>
    <w:rsid w:val="005C0037"/>
    <w:rsid w:val="005C1134"/>
    <w:rsid w:val="005C1ACE"/>
    <w:rsid w:val="005C1F86"/>
    <w:rsid w:val="005C237D"/>
    <w:rsid w:val="005C2D25"/>
    <w:rsid w:val="005C59C0"/>
    <w:rsid w:val="005C60A1"/>
    <w:rsid w:val="005C68A3"/>
    <w:rsid w:val="005C7BCF"/>
    <w:rsid w:val="005D088E"/>
    <w:rsid w:val="005D17A3"/>
    <w:rsid w:val="005D1C98"/>
    <w:rsid w:val="005D20B6"/>
    <w:rsid w:val="005D3361"/>
    <w:rsid w:val="005D5E62"/>
    <w:rsid w:val="005D5F75"/>
    <w:rsid w:val="005D7688"/>
    <w:rsid w:val="005E48D4"/>
    <w:rsid w:val="005E7347"/>
    <w:rsid w:val="005F16B3"/>
    <w:rsid w:val="005F3640"/>
    <w:rsid w:val="005F58E8"/>
    <w:rsid w:val="005F63AC"/>
    <w:rsid w:val="005F7BA3"/>
    <w:rsid w:val="006023CB"/>
    <w:rsid w:val="00602C2B"/>
    <w:rsid w:val="00602DC6"/>
    <w:rsid w:val="00604CF7"/>
    <w:rsid w:val="00605542"/>
    <w:rsid w:val="00605ABA"/>
    <w:rsid w:val="006060B7"/>
    <w:rsid w:val="00606DF9"/>
    <w:rsid w:val="00611DFD"/>
    <w:rsid w:val="00614100"/>
    <w:rsid w:val="00614EEC"/>
    <w:rsid w:val="0061515C"/>
    <w:rsid w:val="00615537"/>
    <w:rsid w:val="00617830"/>
    <w:rsid w:val="00625882"/>
    <w:rsid w:val="006260CF"/>
    <w:rsid w:val="00626915"/>
    <w:rsid w:val="0062775F"/>
    <w:rsid w:val="00632CDD"/>
    <w:rsid w:val="00635141"/>
    <w:rsid w:val="006351FE"/>
    <w:rsid w:val="0063622F"/>
    <w:rsid w:val="006408E6"/>
    <w:rsid w:val="00641C65"/>
    <w:rsid w:val="00642441"/>
    <w:rsid w:val="00642A0D"/>
    <w:rsid w:val="00642D29"/>
    <w:rsid w:val="00643B9F"/>
    <w:rsid w:val="00643D3B"/>
    <w:rsid w:val="006456FB"/>
    <w:rsid w:val="0064593D"/>
    <w:rsid w:val="00646CC3"/>
    <w:rsid w:val="006471FC"/>
    <w:rsid w:val="00652CFB"/>
    <w:rsid w:val="0065382F"/>
    <w:rsid w:val="00654E78"/>
    <w:rsid w:val="00654EFC"/>
    <w:rsid w:val="00656685"/>
    <w:rsid w:val="00657DD4"/>
    <w:rsid w:val="00657FAF"/>
    <w:rsid w:val="00660EE7"/>
    <w:rsid w:val="00662106"/>
    <w:rsid w:val="00662303"/>
    <w:rsid w:val="00662BA2"/>
    <w:rsid w:val="00663BF0"/>
    <w:rsid w:val="00663D5D"/>
    <w:rsid w:val="0066403F"/>
    <w:rsid w:val="006653FF"/>
    <w:rsid w:val="00665E87"/>
    <w:rsid w:val="00667951"/>
    <w:rsid w:val="00670C17"/>
    <w:rsid w:val="00671C43"/>
    <w:rsid w:val="00671E06"/>
    <w:rsid w:val="006739DB"/>
    <w:rsid w:val="00676A4D"/>
    <w:rsid w:val="0068335E"/>
    <w:rsid w:val="006838C3"/>
    <w:rsid w:val="00683D81"/>
    <w:rsid w:val="00683DC0"/>
    <w:rsid w:val="00686DC3"/>
    <w:rsid w:val="00686F8C"/>
    <w:rsid w:val="006901FB"/>
    <w:rsid w:val="00690C2A"/>
    <w:rsid w:val="00691539"/>
    <w:rsid w:val="006951E6"/>
    <w:rsid w:val="006970C3"/>
    <w:rsid w:val="006976FF"/>
    <w:rsid w:val="006A769E"/>
    <w:rsid w:val="006B4ABE"/>
    <w:rsid w:val="006B78A1"/>
    <w:rsid w:val="006C0EE5"/>
    <w:rsid w:val="006C232F"/>
    <w:rsid w:val="006C282F"/>
    <w:rsid w:val="006C36A8"/>
    <w:rsid w:val="006C57A7"/>
    <w:rsid w:val="006C5FA7"/>
    <w:rsid w:val="006C61B4"/>
    <w:rsid w:val="006C7C1C"/>
    <w:rsid w:val="006D029B"/>
    <w:rsid w:val="006D09DF"/>
    <w:rsid w:val="006D32C6"/>
    <w:rsid w:val="006D38B4"/>
    <w:rsid w:val="006D3B62"/>
    <w:rsid w:val="006D46CE"/>
    <w:rsid w:val="006D50A3"/>
    <w:rsid w:val="006E060F"/>
    <w:rsid w:val="006E0C66"/>
    <w:rsid w:val="006E3FC0"/>
    <w:rsid w:val="006E503D"/>
    <w:rsid w:val="006E660D"/>
    <w:rsid w:val="006E778B"/>
    <w:rsid w:val="006E785F"/>
    <w:rsid w:val="006F10F2"/>
    <w:rsid w:val="006F1E1E"/>
    <w:rsid w:val="006F251B"/>
    <w:rsid w:val="006F46D2"/>
    <w:rsid w:val="006F75D0"/>
    <w:rsid w:val="006F7D9E"/>
    <w:rsid w:val="00700687"/>
    <w:rsid w:val="0070197E"/>
    <w:rsid w:val="00702BF7"/>
    <w:rsid w:val="00703F0B"/>
    <w:rsid w:val="00704D66"/>
    <w:rsid w:val="00706193"/>
    <w:rsid w:val="007107AE"/>
    <w:rsid w:val="00712761"/>
    <w:rsid w:val="00713E63"/>
    <w:rsid w:val="007150D4"/>
    <w:rsid w:val="00716804"/>
    <w:rsid w:val="00716BEA"/>
    <w:rsid w:val="00721C9E"/>
    <w:rsid w:val="00722026"/>
    <w:rsid w:val="00724430"/>
    <w:rsid w:val="00725611"/>
    <w:rsid w:val="00727A6A"/>
    <w:rsid w:val="007352ED"/>
    <w:rsid w:val="0073601D"/>
    <w:rsid w:val="0073771F"/>
    <w:rsid w:val="0074364E"/>
    <w:rsid w:val="00744AF3"/>
    <w:rsid w:val="00745F86"/>
    <w:rsid w:val="00750C67"/>
    <w:rsid w:val="00750EEA"/>
    <w:rsid w:val="0075151A"/>
    <w:rsid w:val="00752FCC"/>
    <w:rsid w:val="00753A7F"/>
    <w:rsid w:val="0075439B"/>
    <w:rsid w:val="007566C3"/>
    <w:rsid w:val="007606BD"/>
    <w:rsid w:val="0076136B"/>
    <w:rsid w:val="007616F0"/>
    <w:rsid w:val="00763439"/>
    <w:rsid w:val="007647A5"/>
    <w:rsid w:val="00764BBA"/>
    <w:rsid w:val="00764F59"/>
    <w:rsid w:val="00765E53"/>
    <w:rsid w:val="00771467"/>
    <w:rsid w:val="007715B0"/>
    <w:rsid w:val="00772CC8"/>
    <w:rsid w:val="00773440"/>
    <w:rsid w:val="007735F6"/>
    <w:rsid w:val="00775D86"/>
    <w:rsid w:val="00777ACE"/>
    <w:rsid w:val="00777E95"/>
    <w:rsid w:val="00781706"/>
    <w:rsid w:val="00782DB6"/>
    <w:rsid w:val="007838B7"/>
    <w:rsid w:val="00786BF8"/>
    <w:rsid w:val="00787843"/>
    <w:rsid w:val="00787F9B"/>
    <w:rsid w:val="0079015C"/>
    <w:rsid w:val="00792CC3"/>
    <w:rsid w:val="007954EE"/>
    <w:rsid w:val="007A0C0B"/>
    <w:rsid w:val="007A11D3"/>
    <w:rsid w:val="007A2107"/>
    <w:rsid w:val="007A2A83"/>
    <w:rsid w:val="007A3483"/>
    <w:rsid w:val="007A42FD"/>
    <w:rsid w:val="007A63D5"/>
    <w:rsid w:val="007A7D5C"/>
    <w:rsid w:val="007B0360"/>
    <w:rsid w:val="007B1EB1"/>
    <w:rsid w:val="007B44A0"/>
    <w:rsid w:val="007B6505"/>
    <w:rsid w:val="007B793E"/>
    <w:rsid w:val="007B7CA2"/>
    <w:rsid w:val="007C008E"/>
    <w:rsid w:val="007C00CC"/>
    <w:rsid w:val="007C0EF9"/>
    <w:rsid w:val="007C2C28"/>
    <w:rsid w:val="007C36D0"/>
    <w:rsid w:val="007C58C8"/>
    <w:rsid w:val="007C5ED0"/>
    <w:rsid w:val="007C6171"/>
    <w:rsid w:val="007C6C64"/>
    <w:rsid w:val="007D00CD"/>
    <w:rsid w:val="007D202B"/>
    <w:rsid w:val="007D2069"/>
    <w:rsid w:val="007D2B82"/>
    <w:rsid w:val="007D3A74"/>
    <w:rsid w:val="007D470A"/>
    <w:rsid w:val="007D66E0"/>
    <w:rsid w:val="007E2960"/>
    <w:rsid w:val="007E45F3"/>
    <w:rsid w:val="007E4E93"/>
    <w:rsid w:val="007E5BF4"/>
    <w:rsid w:val="007E7E46"/>
    <w:rsid w:val="007F0844"/>
    <w:rsid w:val="007F0C69"/>
    <w:rsid w:val="007F4BBE"/>
    <w:rsid w:val="007F567B"/>
    <w:rsid w:val="007F64CB"/>
    <w:rsid w:val="007F7D10"/>
    <w:rsid w:val="00801184"/>
    <w:rsid w:val="0080123F"/>
    <w:rsid w:val="00802BBA"/>
    <w:rsid w:val="00802D46"/>
    <w:rsid w:val="0080440C"/>
    <w:rsid w:val="00804435"/>
    <w:rsid w:val="008053F8"/>
    <w:rsid w:val="0080584C"/>
    <w:rsid w:val="00807DC7"/>
    <w:rsid w:val="0081217D"/>
    <w:rsid w:val="00812FD4"/>
    <w:rsid w:val="00814381"/>
    <w:rsid w:val="00816B24"/>
    <w:rsid w:val="00816CF4"/>
    <w:rsid w:val="0082400C"/>
    <w:rsid w:val="008260A7"/>
    <w:rsid w:val="00827F3B"/>
    <w:rsid w:val="00830B1B"/>
    <w:rsid w:val="0083352A"/>
    <w:rsid w:val="008338B3"/>
    <w:rsid w:val="00836476"/>
    <w:rsid w:val="008368F1"/>
    <w:rsid w:val="00842365"/>
    <w:rsid w:val="00842EF6"/>
    <w:rsid w:val="008433EB"/>
    <w:rsid w:val="008463ED"/>
    <w:rsid w:val="0084789C"/>
    <w:rsid w:val="008479F5"/>
    <w:rsid w:val="00847A67"/>
    <w:rsid w:val="00847AA6"/>
    <w:rsid w:val="008521C2"/>
    <w:rsid w:val="00852C2E"/>
    <w:rsid w:val="00853663"/>
    <w:rsid w:val="008554C1"/>
    <w:rsid w:val="00855521"/>
    <w:rsid w:val="00856EEC"/>
    <w:rsid w:val="008605EC"/>
    <w:rsid w:val="00862196"/>
    <w:rsid w:val="00862B2E"/>
    <w:rsid w:val="00864A9D"/>
    <w:rsid w:val="00866ED3"/>
    <w:rsid w:val="0086747B"/>
    <w:rsid w:val="0087220A"/>
    <w:rsid w:val="00872ED9"/>
    <w:rsid w:val="008736D0"/>
    <w:rsid w:val="00873ECF"/>
    <w:rsid w:val="0087490A"/>
    <w:rsid w:val="00876A57"/>
    <w:rsid w:val="00880B8F"/>
    <w:rsid w:val="00882383"/>
    <w:rsid w:val="00884351"/>
    <w:rsid w:val="00884701"/>
    <w:rsid w:val="00884BB0"/>
    <w:rsid w:val="0088738E"/>
    <w:rsid w:val="00890E96"/>
    <w:rsid w:val="00894BE1"/>
    <w:rsid w:val="00896242"/>
    <w:rsid w:val="00897CE5"/>
    <w:rsid w:val="008A12A5"/>
    <w:rsid w:val="008A1AA9"/>
    <w:rsid w:val="008A5DC9"/>
    <w:rsid w:val="008A674E"/>
    <w:rsid w:val="008A6C94"/>
    <w:rsid w:val="008B1559"/>
    <w:rsid w:val="008B32E9"/>
    <w:rsid w:val="008B682C"/>
    <w:rsid w:val="008B6A5A"/>
    <w:rsid w:val="008B7139"/>
    <w:rsid w:val="008C0BB6"/>
    <w:rsid w:val="008C1493"/>
    <w:rsid w:val="008C4E64"/>
    <w:rsid w:val="008C5732"/>
    <w:rsid w:val="008C5754"/>
    <w:rsid w:val="008D2604"/>
    <w:rsid w:val="008D39D7"/>
    <w:rsid w:val="008D5581"/>
    <w:rsid w:val="008D5BF2"/>
    <w:rsid w:val="008D5E7D"/>
    <w:rsid w:val="008E1758"/>
    <w:rsid w:val="008E1BD1"/>
    <w:rsid w:val="008E2CAA"/>
    <w:rsid w:val="008E343D"/>
    <w:rsid w:val="008E3974"/>
    <w:rsid w:val="008E407B"/>
    <w:rsid w:val="008E502E"/>
    <w:rsid w:val="008E573F"/>
    <w:rsid w:val="008E68C8"/>
    <w:rsid w:val="008E7CA5"/>
    <w:rsid w:val="008F3C73"/>
    <w:rsid w:val="008F4CFD"/>
    <w:rsid w:val="0090008E"/>
    <w:rsid w:val="00903243"/>
    <w:rsid w:val="0090640F"/>
    <w:rsid w:val="009071F2"/>
    <w:rsid w:val="009113A7"/>
    <w:rsid w:val="00911FAC"/>
    <w:rsid w:val="0091447C"/>
    <w:rsid w:val="00914543"/>
    <w:rsid w:val="009152D9"/>
    <w:rsid w:val="0092264D"/>
    <w:rsid w:val="009226E0"/>
    <w:rsid w:val="0092316C"/>
    <w:rsid w:val="00923984"/>
    <w:rsid w:val="00923F37"/>
    <w:rsid w:val="009241C8"/>
    <w:rsid w:val="00924B8E"/>
    <w:rsid w:val="00925382"/>
    <w:rsid w:val="00926490"/>
    <w:rsid w:val="00926820"/>
    <w:rsid w:val="009270D6"/>
    <w:rsid w:val="009302DF"/>
    <w:rsid w:val="00931119"/>
    <w:rsid w:val="0093140D"/>
    <w:rsid w:val="00931CEB"/>
    <w:rsid w:val="00931D5B"/>
    <w:rsid w:val="00932DAE"/>
    <w:rsid w:val="00932EBC"/>
    <w:rsid w:val="0093377B"/>
    <w:rsid w:val="00935FAD"/>
    <w:rsid w:val="0093704B"/>
    <w:rsid w:val="009421C6"/>
    <w:rsid w:val="009428B9"/>
    <w:rsid w:val="009441D2"/>
    <w:rsid w:val="00945730"/>
    <w:rsid w:val="00947CAC"/>
    <w:rsid w:val="00950156"/>
    <w:rsid w:val="00950801"/>
    <w:rsid w:val="009512D6"/>
    <w:rsid w:val="009541D7"/>
    <w:rsid w:val="00955360"/>
    <w:rsid w:val="009559AB"/>
    <w:rsid w:val="00955B27"/>
    <w:rsid w:val="00956383"/>
    <w:rsid w:val="009574DD"/>
    <w:rsid w:val="00957783"/>
    <w:rsid w:val="0096125B"/>
    <w:rsid w:val="00962F76"/>
    <w:rsid w:val="009630FB"/>
    <w:rsid w:val="00963A40"/>
    <w:rsid w:val="00963CBC"/>
    <w:rsid w:val="00966DFA"/>
    <w:rsid w:val="00966FEA"/>
    <w:rsid w:val="00971E3A"/>
    <w:rsid w:val="00972A1C"/>
    <w:rsid w:val="00972F64"/>
    <w:rsid w:val="009761C6"/>
    <w:rsid w:val="00976225"/>
    <w:rsid w:val="0097677E"/>
    <w:rsid w:val="009768AC"/>
    <w:rsid w:val="00976E46"/>
    <w:rsid w:val="009772B7"/>
    <w:rsid w:val="00982862"/>
    <w:rsid w:val="0098504D"/>
    <w:rsid w:val="00985571"/>
    <w:rsid w:val="00985BBB"/>
    <w:rsid w:val="00986113"/>
    <w:rsid w:val="00986FD3"/>
    <w:rsid w:val="00994E15"/>
    <w:rsid w:val="009964AF"/>
    <w:rsid w:val="009A3167"/>
    <w:rsid w:val="009A3C80"/>
    <w:rsid w:val="009A3D32"/>
    <w:rsid w:val="009A3DBE"/>
    <w:rsid w:val="009A647B"/>
    <w:rsid w:val="009A70FB"/>
    <w:rsid w:val="009A765A"/>
    <w:rsid w:val="009A7E16"/>
    <w:rsid w:val="009B062B"/>
    <w:rsid w:val="009B0D33"/>
    <w:rsid w:val="009B133D"/>
    <w:rsid w:val="009B18FE"/>
    <w:rsid w:val="009B2042"/>
    <w:rsid w:val="009B3413"/>
    <w:rsid w:val="009B436A"/>
    <w:rsid w:val="009B4958"/>
    <w:rsid w:val="009B4BA1"/>
    <w:rsid w:val="009B6B84"/>
    <w:rsid w:val="009C2037"/>
    <w:rsid w:val="009C233C"/>
    <w:rsid w:val="009C3E2C"/>
    <w:rsid w:val="009C72F9"/>
    <w:rsid w:val="009C732E"/>
    <w:rsid w:val="009D09E1"/>
    <w:rsid w:val="009D0A0C"/>
    <w:rsid w:val="009D0E07"/>
    <w:rsid w:val="009D1CB0"/>
    <w:rsid w:val="009D2767"/>
    <w:rsid w:val="009D3299"/>
    <w:rsid w:val="009D35E3"/>
    <w:rsid w:val="009D52F6"/>
    <w:rsid w:val="009D5C64"/>
    <w:rsid w:val="009D6140"/>
    <w:rsid w:val="009D71E4"/>
    <w:rsid w:val="009D744E"/>
    <w:rsid w:val="009E1A78"/>
    <w:rsid w:val="009E2867"/>
    <w:rsid w:val="009E526F"/>
    <w:rsid w:val="009E61A9"/>
    <w:rsid w:val="009E68CD"/>
    <w:rsid w:val="009E6B14"/>
    <w:rsid w:val="009F0172"/>
    <w:rsid w:val="009F20ED"/>
    <w:rsid w:val="009F4071"/>
    <w:rsid w:val="00A00453"/>
    <w:rsid w:val="00A00813"/>
    <w:rsid w:val="00A022BF"/>
    <w:rsid w:val="00A025C6"/>
    <w:rsid w:val="00A036F5"/>
    <w:rsid w:val="00A036F8"/>
    <w:rsid w:val="00A037D2"/>
    <w:rsid w:val="00A1053A"/>
    <w:rsid w:val="00A14FCB"/>
    <w:rsid w:val="00A162CF"/>
    <w:rsid w:val="00A2014D"/>
    <w:rsid w:val="00A208A4"/>
    <w:rsid w:val="00A31BA6"/>
    <w:rsid w:val="00A32090"/>
    <w:rsid w:val="00A32331"/>
    <w:rsid w:val="00A339DB"/>
    <w:rsid w:val="00A33CDF"/>
    <w:rsid w:val="00A34D8F"/>
    <w:rsid w:val="00A3672A"/>
    <w:rsid w:val="00A37F9F"/>
    <w:rsid w:val="00A42D18"/>
    <w:rsid w:val="00A444DD"/>
    <w:rsid w:val="00A45021"/>
    <w:rsid w:val="00A46339"/>
    <w:rsid w:val="00A46D3E"/>
    <w:rsid w:val="00A475E7"/>
    <w:rsid w:val="00A475F5"/>
    <w:rsid w:val="00A47F82"/>
    <w:rsid w:val="00A50528"/>
    <w:rsid w:val="00A51C75"/>
    <w:rsid w:val="00A51D63"/>
    <w:rsid w:val="00A53263"/>
    <w:rsid w:val="00A543A9"/>
    <w:rsid w:val="00A571D7"/>
    <w:rsid w:val="00A5744C"/>
    <w:rsid w:val="00A578E4"/>
    <w:rsid w:val="00A579BB"/>
    <w:rsid w:val="00A61DC9"/>
    <w:rsid w:val="00A63598"/>
    <w:rsid w:val="00A636B3"/>
    <w:rsid w:val="00A63C22"/>
    <w:rsid w:val="00A656B4"/>
    <w:rsid w:val="00A65E29"/>
    <w:rsid w:val="00A70D5C"/>
    <w:rsid w:val="00A7105C"/>
    <w:rsid w:val="00A71A7A"/>
    <w:rsid w:val="00A71E55"/>
    <w:rsid w:val="00A72676"/>
    <w:rsid w:val="00A72D39"/>
    <w:rsid w:val="00A7629A"/>
    <w:rsid w:val="00A768FF"/>
    <w:rsid w:val="00A77608"/>
    <w:rsid w:val="00A81552"/>
    <w:rsid w:val="00A81772"/>
    <w:rsid w:val="00A81C9A"/>
    <w:rsid w:val="00A822E9"/>
    <w:rsid w:val="00A86104"/>
    <w:rsid w:val="00A87880"/>
    <w:rsid w:val="00A87BD2"/>
    <w:rsid w:val="00A902B3"/>
    <w:rsid w:val="00A905DE"/>
    <w:rsid w:val="00A90E64"/>
    <w:rsid w:val="00A9217F"/>
    <w:rsid w:val="00A946B0"/>
    <w:rsid w:val="00A9544C"/>
    <w:rsid w:val="00A965CD"/>
    <w:rsid w:val="00A974E3"/>
    <w:rsid w:val="00AA02F7"/>
    <w:rsid w:val="00AA11F9"/>
    <w:rsid w:val="00AA1B1A"/>
    <w:rsid w:val="00AA42EA"/>
    <w:rsid w:val="00AA51FD"/>
    <w:rsid w:val="00AA54B5"/>
    <w:rsid w:val="00AA56B9"/>
    <w:rsid w:val="00AA68E4"/>
    <w:rsid w:val="00AA7109"/>
    <w:rsid w:val="00AB114C"/>
    <w:rsid w:val="00AB412C"/>
    <w:rsid w:val="00AB4AFC"/>
    <w:rsid w:val="00AB5C31"/>
    <w:rsid w:val="00AC3068"/>
    <w:rsid w:val="00AC33C3"/>
    <w:rsid w:val="00AC6914"/>
    <w:rsid w:val="00AC79BC"/>
    <w:rsid w:val="00AD2596"/>
    <w:rsid w:val="00AD2A9F"/>
    <w:rsid w:val="00AD33CA"/>
    <w:rsid w:val="00AD392B"/>
    <w:rsid w:val="00AD67AB"/>
    <w:rsid w:val="00AD7983"/>
    <w:rsid w:val="00AE334B"/>
    <w:rsid w:val="00AE4765"/>
    <w:rsid w:val="00AF0BFC"/>
    <w:rsid w:val="00AF138A"/>
    <w:rsid w:val="00AF3C58"/>
    <w:rsid w:val="00AF44C0"/>
    <w:rsid w:val="00AF5F1D"/>
    <w:rsid w:val="00AF607C"/>
    <w:rsid w:val="00AF6796"/>
    <w:rsid w:val="00AF7392"/>
    <w:rsid w:val="00B00B70"/>
    <w:rsid w:val="00B00C6F"/>
    <w:rsid w:val="00B010CD"/>
    <w:rsid w:val="00B02BB5"/>
    <w:rsid w:val="00B030C7"/>
    <w:rsid w:val="00B04655"/>
    <w:rsid w:val="00B046AC"/>
    <w:rsid w:val="00B05557"/>
    <w:rsid w:val="00B05577"/>
    <w:rsid w:val="00B065F0"/>
    <w:rsid w:val="00B07B40"/>
    <w:rsid w:val="00B117D1"/>
    <w:rsid w:val="00B13D7C"/>
    <w:rsid w:val="00B13DA9"/>
    <w:rsid w:val="00B1499C"/>
    <w:rsid w:val="00B15182"/>
    <w:rsid w:val="00B20D78"/>
    <w:rsid w:val="00B268B7"/>
    <w:rsid w:val="00B26970"/>
    <w:rsid w:val="00B277E9"/>
    <w:rsid w:val="00B32A5C"/>
    <w:rsid w:val="00B33B36"/>
    <w:rsid w:val="00B36F9F"/>
    <w:rsid w:val="00B3755C"/>
    <w:rsid w:val="00B43B51"/>
    <w:rsid w:val="00B44664"/>
    <w:rsid w:val="00B46EA7"/>
    <w:rsid w:val="00B47BBC"/>
    <w:rsid w:val="00B51749"/>
    <w:rsid w:val="00B5191D"/>
    <w:rsid w:val="00B550F0"/>
    <w:rsid w:val="00B553A2"/>
    <w:rsid w:val="00B605AF"/>
    <w:rsid w:val="00B61AFC"/>
    <w:rsid w:val="00B642E4"/>
    <w:rsid w:val="00B71435"/>
    <w:rsid w:val="00B75B0B"/>
    <w:rsid w:val="00B75CC5"/>
    <w:rsid w:val="00B75D7E"/>
    <w:rsid w:val="00B76C15"/>
    <w:rsid w:val="00B80666"/>
    <w:rsid w:val="00B81BBE"/>
    <w:rsid w:val="00B830A7"/>
    <w:rsid w:val="00B8454B"/>
    <w:rsid w:val="00B84B92"/>
    <w:rsid w:val="00B84FE4"/>
    <w:rsid w:val="00B85BFC"/>
    <w:rsid w:val="00B90CF1"/>
    <w:rsid w:val="00B90DE2"/>
    <w:rsid w:val="00B90EFF"/>
    <w:rsid w:val="00B90F7B"/>
    <w:rsid w:val="00B91676"/>
    <w:rsid w:val="00B92448"/>
    <w:rsid w:val="00B9553F"/>
    <w:rsid w:val="00B95712"/>
    <w:rsid w:val="00B95D12"/>
    <w:rsid w:val="00B9674B"/>
    <w:rsid w:val="00BA22E2"/>
    <w:rsid w:val="00BA2D53"/>
    <w:rsid w:val="00BA3928"/>
    <w:rsid w:val="00BA5F18"/>
    <w:rsid w:val="00BA7FD9"/>
    <w:rsid w:val="00BB1735"/>
    <w:rsid w:val="00BB5F53"/>
    <w:rsid w:val="00BC0CC6"/>
    <w:rsid w:val="00BC167D"/>
    <w:rsid w:val="00BC1E0F"/>
    <w:rsid w:val="00BC2735"/>
    <w:rsid w:val="00BC36DF"/>
    <w:rsid w:val="00BC3A2E"/>
    <w:rsid w:val="00BC5080"/>
    <w:rsid w:val="00BC6BE9"/>
    <w:rsid w:val="00BC6F19"/>
    <w:rsid w:val="00BD19C7"/>
    <w:rsid w:val="00BD353F"/>
    <w:rsid w:val="00BD66A9"/>
    <w:rsid w:val="00BD6BFA"/>
    <w:rsid w:val="00BD7138"/>
    <w:rsid w:val="00BD75BB"/>
    <w:rsid w:val="00BE0B00"/>
    <w:rsid w:val="00BE1469"/>
    <w:rsid w:val="00BE2377"/>
    <w:rsid w:val="00BE254E"/>
    <w:rsid w:val="00BE4AF9"/>
    <w:rsid w:val="00BF035C"/>
    <w:rsid w:val="00BF2467"/>
    <w:rsid w:val="00BF2E90"/>
    <w:rsid w:val="00BF43E2"/>
    <w:rsid w:val="00BF490F"/>
    <w:rsid w:val="00BF547D"/>
    <w:rsid w:val="00BF6916"/>
    <w:rsid w:val="00BF6A50"/>
    <w:rsid w:val="00C00141"/>
    <w:rsid w:val="00C019F2"/>
    <w:rsid w:val="00C02EB7"/>
    <w:rsid w:val="00C10FA4"/>
    <w:rsid w:val="00C119D8"/>
    <w:rsid w:val="00C11CBD"/>
    <w:rsid w:val="00C11F8C"/>
    <w:rsid w:val="00C1295B"/>
    <w:rsid w:val="00C1410C"/>
    <w:rsid w:val="00C14536"/>
    <w:rsid w:val="00C14FF5"/>
    <w:rsid w:val="00C2304C"/>
    <w:rsid w:val="00C248F0"/>
    <w:rsid w:val="00C344B2"/>
    <w:rsid w:val="00C3492F"/>
    <w:rsid w:val="00C37068"/>
    <w:rsid w:val="00C41600"/>
    <w:rsid w:val="00C4473B"/>
    <w:rsid w:val="00C44B9B"/>
    <w:rsid w:val="00C46FA2"/>
    <w:rsid w:val="00C511CC"/>
    <w:rsid w:val="00C52604"/>
    <w:rsid w:val="00C52752"/>
    <w:rsid w:val="00C5650E"/>
    <w:rsid w:val="00C57606"/>
    <w:rsid w:val="00C602CB"/>
    <w:rsid w:val="00C60DFF"/>
    <w:rsid w:val="00C60F39"/>
    <w:rsid w:val="00C612F9"/>
    <w:rsid w:val="00C62BCD"/>
    <w:rsid w:val="00C6383E"/>
    <w:rsid w:val="00C63EE2"/>
    <w:rsid w:val="00C64037"/>
    <w:rsid w:val="00C657B9"/>
    <w:rsid w:val="00C65DE2"/>
    <w:rsid w:val="00C67BAC"/>
    <w:rsid w:val="00C67C6C"/>
    <w:rsid w:val="00C707A2"/>
    <w:rsid w:val="00C71D1B"/>
    <w:rsid w:val="00C7613C"/>
    <w:rsid w:val="00C7671E"/>
    <w:rsid w:val="00C774BB"/>
    <w:rsid w:val="00C77DE6"/>
    <w:rsid w:val="00C8007A"/>
    <w:rsid w:val="00C80FD4"/>
    <w:rsid w:val="00C81DB8"/>
    <w:rsid w:val="00C85C33"/>
    <w:rsid w:val="00C8682F"/>
    <w:rsid w:val="00C86E4C"/>
    <w:rsid w:val="00C9275B"/>
    <w:rsid w:val="00C92EBD"/>
    <w:rsid w:val="00C94EB8"/>
    <w:rsid w:val="00C96532"/>
    <w:rsid w:val="00CA0FD4"/>
    <w:rsid w:val="00CA257A"/>
    <w:rsid w:val="00CB0B64"/>
    <w:rsid w:val="00CB3210"/>
    <w:rsid w:val="00CB6180"/>
    <w:rsid w:val="00CB730A"/>
    <w:rsid w:val="00CB7412"/>
    <w:rsid w:val="00CB75B1"/>
    <w:rsid w:val="00CB7DB1"/>
    <w:rsid w:val="00CC1693"/>
    <w:rsid w:val="00CC2D59"/>
    <w:rsid w:val="00CC2E7F"/>
    <w:rsid w:val="00CC6903"/>
    <w:rsid w:val="00CD216C"/>
    <w:rsid w:val="00CD3A0D"/>
    <w:rsid w:val="00CD3BB4"/>
    <w:rsid w:val="00CD3F7B"/>
    <w:rsid w:val="00CD49FD"/>
    <w:rsid w:val="00CD5020"/>
    <w:rsid w:val="00CD539D"/>
    <w:rsid w:val="00CD67F8"/>
    <w:rsid w:val="00CD6B64"/>
    <w:rsid w:val="00CD74F2"/>
    <w:rsid w:val="00CD7C16"/>
    <w:rsid w:val="00CE0BDF"/>
    <w:rsid w:val="00CE0EB0"/>
    <w:rsid w:val="00CE1B7F"/>
    <w:rsid w:val="00CE1C48"/>
    <w:rsid w:val="00CE2A70"/>
    <w:rsid w:val="00CE2BF0"/>
    <w:rsid w:val="00CE51A4"/>
    <w:rsid w:val="00CE551F"/>
    <w:rsid w:val="00CE6931"/>
    <w:rsid w:val="00CE7CA9"/>
    <w:rsid w:val="00CF0507"/>
    <w:rsid w:val="00CF0832"/>
    <w:rsid w:val="00CF0ADA"/>
    <w:rsid w:val="00CF14EB"/>
    <w:rsid w:val="00CF35A8"/>
    <w:rsid w:val="00CF5012"/>
    <w:rsid w:val="00CF56BB"/>
    <w:rsid w:val="00CF6D22"/>
    <w:rsid w:val="00CF7723"/>
    <w:rsid w:val="00D01FBA"/>
    <w:rsid w:val="00D03464"/>
    <w:rsid w:val="00D03E2D"/>
    <w:rsid w:val="00D03FBA"/>
    <w:rsid w:val="00D042C0"/>
    <w:rsid w:val="00D07737"/>
    <w:rsid w:val="00D07FBA"/>
    <w:rsid w:val="00D11E76"/>
    <w:rsid w:val="00D12885"/>
    <w:rsid w:val="00D13EE5"/>
    <w:rsid w:val="00D1636E"/>
    <w:rsid w:val="00D16CD4"/>
    <w:rsid w:val="00D207F3"/>
    <w:rsid w:val="00D2318E"/>
    <w:rsid w:val="00D246C4"/>
    <w:rsid w:val="00D2586B"/>
    <w:rsid w:val="00D26005"/>
    <w:rsid w:val="00D26800"/>
    <w:rsid w:val="00D26ABA"/>
    <w:rsid w:val="00D27F91"/>
    <w:rsid w:val="00D3259B"/>
    <w:rsid w:val="00D35224"/>
    <w:rsid w:val="00D3572C"/>
    <w:rsid w:val="00D35F31"/>
    <w:rsid w:val="00D4014A"/>
    <w:rsid w:val="00D41A52"/>
    <w:rsid w:val="00D42E0A"/>
    <w:rsid w:val="00D43B78"/>
    <w:rsid w:val="00D43F91"/>
    <w:rsid w:val="00D44CB1"/>
    <w:rsid w:val="00D4654D"/>
    <w:rsid w:val="00D46B2B"/>
    <w:rsid w:val="00D4771F"/>
    <w:rsid w:val="00D5077D"/>
    <w:rsid w:val="00D518F5"/>
    <w:rsid w:val="00D51E82"/>
    <w:rsid w:val="00D53935"/>
    <w:rsid w:val="00D54763"/>
    <w:rsid w:val="00D613FA"/>
    <w:rsid w:val="00D62C0A"/>
    <w:rsid w:val="00D632BE"/>
    <w:rsid w:val="00D6655A"/>
    <w:rsid w:val="00D66A95"/>
    <w:rsid w:val="00D66D0E"/>
    <w:rsid w:val="00D67AB3"/>
    <w:rsid w:val="00D72D18"/>
    <w:rsid w:val="00D73DFE"/>
    <w:rsid w:val="00D746CE"/>
    <w:rsid w:val="00D75BF9"/>
    <w:rsid w:val="00D7675E"/>
    <w:rsid w:val="00D80823"/>
    <w:rsid w:val="00D80AC5"/>
    <w:rsid w:val="00D81ED7"/>
    <w:rsid w:val="00D84850"/>
    <w:rsid w:val="00D85509"/>
    <w:rsid w:val="00D8566F"/>
    <w:rsid w:val="00D861E5"/>
    <w:rsid w:val="00D8697A"/>
    <w:rsid w:val="00D87581"/>
    <w:rsid w:val="00D879C9"/>
    <w:rsid w:val="00D91C91"/>
    <w:rsid w:val="00D93111"/>
    <w:rsid w:val="00D93A52"/>
    <w:rsid w:val="00D9453A"/>
    <w:rsid w:val="00D97236"/>
    <w:rsid w:val="00D97B56"/>
    <w:rsid w:val="00DA373A"/>
    <w:rsid w:val="00DA376E"/>
    <w:rsid w:val="00DA4880"/>
    <w:rsid w:val="00DA5358"/>
    <w:rsid w:val="00DA6D14"/>
    <w:rsid w:val="00DA7400"/>
    <w:rsid w:val="00DB083B"/>
    <w:rsid w:val="00DB12D5"/>
    <w:rsid w:val="00DB1E11"/>
    <w:rsid w:val="00DB3040"/>
    <w:rsid w:val="00DB33FA"/>
    <w:rsid w:val="00DB34F0"/>
    <w:rsid w:val="00DB490C"/>
    <w:rsid w:val="00DC0357"/>
    <w:rsid w:val="00DC2B99"/>
    <w:rsid w:val="00DC3244"/>
    <w:rsid w:val="00DC390C"/>
    <w:rsid w:val="00DC4219"/>
    <w:rsid w:val="00DC5110"/>
    <w:rsid w:val="00DC6D69"/>
    <w:rsid w:val="00DD5446"/>
    <w:rsid w:val="00DD735C"/>
    <w:rsid w:val="00DE0046"/>
    <w:rsid w:val="00DE0EB3"/>
    <w:rsid w:val="00DE2067"/>
    <w:rsid w:val="00DE4675"/>
    <w:rsid w:val="00DE5BCB"/>
    <w:rsid w:val="00DF04CD"/>
    <w:rsid w:val="00DF0D42"/>
    <w:rsid w:val="00DF11CE"/>
    <w:rsid w:val="00DF2376"/>
    <w:rsid w:val="00DF3962"/>
    <w:rsid w:val="00DF4244"/>
    <w:rsid w:val="00DF6F79"/>
    <w:rsid w:val="00DF7266"/>
    <w:rsid w:val="00DF7773"/>
    <w:rsid w:val="00DF78DD"/>
    <w:rsid w:val="00DF7E0E"/>
    <w:rsid w:val="00E00246"/>
    <w:rsid w:val="00E0496A"/>
    <w:rsid w:val="00E06470"/>
    <w:rsid w:val="00E13A88"/>
    <w:rsid w:val="00E13E58"/>
    <w:rsid w:val="00E200A7"/>
    <w:rsid w:val="00E20168"/>
    <w:rsid w:val="00E21850"/>
    <w:rsid w:val="00E21AD0"/>
    <w:rsid w:val="00E24900"/>
    <w:rsid w:val="00E24A0F"/>
    <w:rsid w:val="00E251AE"/>
    <w:rsid w:val="00E25202"/>
    <w:rsid w:val="00E274ED"/>
    <w:rsid w:val="00E30531"/>
    <w:rsid w:val="00E314E2"/>
    <w:rsid w:val="00E3164B"/>
    <w:rsid w:val="00E33B31"/>
    <w:rsid w:val="00E359E5"/>
    <w:rsid w:val="00E3689D"/>
    <w:rsid w:val="00E36ABE"/>
    <w:rsid w:val="00E37ACD"/>
    <w:rsid w:val="00E419EC"/>
    <w:rsid w:val="00E41D7D"/>
    <w:rsid w:val="00E42004"/>
    <w:rsid w:val="00E4266D"/>
    <w:rsid w:val="00E42B67"/>
    <w:rsid w:val="00E43E28"/>
    <w:rsid w:val="00E440E9"/>
    <w:rsid w:val="00E46DFC"/>
    <w:rsid w:val="00E47B0C"/>
    <w:rsid w:val="00E47D23"/>
    <w:rsid w:val="00E546AB"/>
    <w:rsid w:val="00E55469"/>
    <w:rsid w:val="00E55BA4"/>
    <w:rsid w:val="00E575A4"/>
    <w:rsid w:val="00E5796A"/>
    <w:rsid w:val="00E603FE"/>
    <w:rsid w:val="00E60BA9"/>
    <w:rsid w:val="00E6156D"/>
    <w:rsid w:val="00E63460"/>
    <w:rsid w:val="00E66435"/>
    <w:rsid w:val="00E66523"/>
    <w:rsid w:val="00E67C70"/>
    <w:rsid w:val="00E7274B"/>
    <w:rsid w:val="00E736F6"/>
    <w:rsid w:val="00E74154"/>
    <w:rsid w:val="00E75076"/>
    <w:rsid w:val="00E76ED7"/>
    <w:rsid w:val="00E770C4"/>
    <w:rsid w:val="00E7793E"/>
    <w:rsid w:val="00E77F34"/>
    <w:rsid w:val="00E80D78"/>
    <w:rsid w:val="00E83214"/>
    <w:rsid w:val="00E84260"/>
    <w:rsid w:val="00E864F5"/>
    <w:rsid w:val="00E9044D"/>
    <w:rsid w:val="00E90B71"/>
    <w:rsid w:val="00E9113C"/>
    <w:rsid w:val="00E921FB"/>
    <w:rsid w:val="00E94A40"/>
    <w:rsid w:val="00E94E2A"/>
    <w:rsid w:val="00E95CDE"/>
    <w:rsid w:val="00E95D2D"/>
    <w:rsid w:val="00E95E03"/>
    <w:rsid w:val="00E97BEB"/>
    <w:rsid w:val="00EA08D7"/>
    <w:rsid w:val="00EA1D34"/>
    <w:rsid w:val="00EA236D"/>
    <w:rsid w:val="00EA312D"/>
    <w:rsid w:val="00EA3CE7"/>
    <w:rsid w:val="00EA3F29"/>
    <w:rsid w:val="00EA4112"/>
    <w:rsid w:val="00EA576A"/>
    <w:rsid w:val="00EB07FC"/>
    <w:rsid w:val="00EB3935"/>
    <w:rsid w:val="00EB3B1D"/>
    <w:rsid w:val="00EB5800"/>
    <w:rsid w:val="00EB70C6"/>
    <w:rsid w:val="00EC0D37"/>
    <w:rsid w:val="00EC1909"/>
    <w:rsid w:val="00EC5AB0"/>
    <w:rsid w:val="00EC5B01"/>
    <w:rsid w:val="00ED087C"/>
    <w:rsid w:val="00ED0B81"/>
    <w:rsid w:val="00ED1731"/>
    <w:rsid w:val="00ED19B7"/>
    <w:rsid w:val="00ED2DCC"/>
    <w:rsid w:val="00ED30FC"/>
    <w:rsid w:val="00ED6A5F"/>
    <w:rsid w:val="00ED76D4"/>
    <w:rsid w:val="00EE0073"/>
    <w:rsid w:val="00EE0EEB"/>
    <w:rsid w:val="00EE42B3"/>
    <w:rsid w:val="00EE4C8A"/>
    <w:rsid w:val="00EF063E"/>
    <w:rsid w:val="00EF0F5A"/>
    <w:rsid w:val="00EF22DB"/>
    <w:rsid w:val="00EF2F1E"/>
    <w:rsid w:val="00EF3C0D"/>
    <w:rsid w:val="00EF4E0B"/>
    <w:rsid w:val="00EF7369"/>
    <w:rsid w:val="00EF763D"/>
    <w:rsid w:val="00F0015E"/>
    <w:rsid w:val="00F0126E"/>
    <w:rsid w:val="00F01604"/>
    <w:rsid w:val="00F019D9"/>
    <w:rsid w:val="00F0207E"/>
    <w:rsid w:val="00F023DD"/>
    <w:rsid w:val="00F04AE5"/>
    <w:rsid w:val="00F06F3E"/>
    <w:rsid w:val="00F07485"/>
    <w:rsid w:val="00F0781F"/>
    <w:rsid w:val="00F114C8"/>
    <w:rsid w:val="00F1158F"/>
    <w:rsid w:val="00F11772"/>
    <w:rsid w:val="00F13ED2"/>
    <w:rsid w:val="00F14308"/>
    <w:rsid w:val="00F15209"/>
    <w:rsid w:val="00F207EE"/>
    <w:rsid w:val="00F2106B"/>
    <w:rsid w:val="00F2244C"/>
    <w:rsid w:val="00F2262F"/>
    <w:rsid w:val="00F241D7"/>
    <w:rsid w:val="00F24EBE"/>
    <w:rsid w:val="00F25277"/>
    <w:rsid w:val="00F255F4"/>
    <w:rsid w:val="00F2700E"/>
    <w:rsid w:val="00F27846"/>
    <w:rsid w:val="00F303BB"/>
    <w:rsid w:val="00F31B27"/>
    <w:rsid w:val="00F35A19"/>
    <w:rsid w:val="00F360A5"/>
    <w:rsid w:val="00F36662"/>
    <w:rsid w:val="00F378D2"/>
    <w:rsid w:val="00F37A86"/>
    <w:rsid w:val="00F37DB1"/>
    <w:rsid w:val="00F429DB"/>
    <w:rsid w:val="00F42E08"/>
    <w:rsid w:val="00F439EF"/>
    <w:rsid w:val="00F43BD9"/>
    <w:rsid w:val="00F45A77"/>
    <w:rsid w:val="00F45F40"/>
    <w:rsid w:val="00F50270"/>
    <w:rsid w:val="00F50437"/>
    <w:rsid w:val="00F55121"/>
    <w:rsid w:val="00F55DF8"/>
    <w:rsid w:val="00F57B48"/>
    <w:rsid w:val="00F62045"/>
    <w:rsid w:val="00F650C1"/>
    <w:rsid w:val="00F65FFD"/>
    <w:rsid w:val="00F66B71"/>
    <w:rsid w:val="00F706E6"/>
    <w:rsid w:val="00F72607"/>
    <w:rsid w:val="00F72B43"/>
    <w:rsid w:val="00F73240"/>
    <w:rsid w:val="00F73695"/>
    <w:rsid w:val="00F7463F"/>
    <w:rsid w:val="00F74AFA"/>
    <w:rsid w:val="00F75F38"/>
    <w:rsid w:val="00F76E47"/>
    <w:rsid w:val="00F80346"/>
    <w:rsid w:val="00F808E8"/>
    <w:rsid w:val="00F8259D"/>
    <w:rsid w:val="00F82A4F"/>
    <w:rsid w:val="00F831F6"/>
    <w:rsid w:val="00F83749"/>
    <w:rsid w:val="00F8512B"/>
    <w:rsid w:val="00F861B8"/>
    <w:rsid w:val="00F91489"/>
    <w:rsid w:val="00F91E2E"/>
    <w:rsid w:val="00F920A4"/>
    <w:rsid w:val="00F9367D"/>
    <w:rsid w:val="00F93C95"/>
    <w:rsid w:val="00F941D7"/>
    <w:rsid w:val="00FA10A3"/>
    <w:rsid w:val="00FA48DA"/>
    <w:rsid w:val="00FA5D0C"/>
    <w:rsid w:val="00FA6351"/>
    <w:rsid w:val="00FA6FE8"/>
    <w:rsid w:val="00FB14B5"/>
    <w:rsid w:val="00FB1885"/>
    <w:rsid w:val="00FB2B3E"/>
    <w:rsid w:val="00FB2C40"/>
    <w:rsid w:val="00FB63D7"/>
    <w:rsid w:val="00FC0DD6"/>
    <w:rsid w:val="00FC2021"/>
    <w:rsid w:val="00FC329E"/>
    <w:rsid w:val="00FC6707"/>
    <w:rsid w:val="00FC6B60"/>
    <w:rsid w:val="00FD455A"/>
    <w:rsid w:val="00FD6573"/>
    <w:rsid w:val="00FD692D"/>
    <w:rsid w:val="00FE12EA"/>
    <w:rsid w:val="00FE238B"/>
    <w:rsid w:val="00FE2421"/>
    <w:rsid w:val="00FE3042"/>
    <w:rsid w:val="00FE31C6"/>
    <w:rsid w:val="00FE4138"/>
    <w:rsid w:val="00FE5608"/>
    <w:rsid w:val="00FE78E5"/>
    <w:rsid w:val="00FE7CF7"/>
    <w:rsid w:val="00FF0483"/>
    <w:rsid w:val="00FF091A"/>
    <w:rsid w:val="00FF14A8"/>
    <w:rsid w:val="00FF1E1F"/>
    <w:rsid w:val="00FF52D9"/>
    <w:rsid w:val="00FF5FF3"/>
    <w:rsid w:val="00FF7692"/>
    <w:rsid w:val="0127116D"/>
    <w:rsid w:val="69131B80"/>
    <w:rsid w:val="7E0E2CC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2D172B54-7751-4195-9C4F-807B6C090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ABA"/>
    <w:pPr>
      <w:widowControl w:val="0"/>
      <w:spacing w:after="0" w:line="240" w:lineRule="auto"/>
    </w:pPr>
    <w:rPr>
      <w:rFonts w:ascii="Times New Roman" w:eastAsia="Times New Roman" w:hAnsi="Times New Roman" w:cs="Times New Roman"/>
      <w:snapToGrid w:val="0"/>
      <w:kern w:val="28"/>
      <w:szCs w:val="20"/>
    </w:rPr>
  </w:style>
  <w:style w:type="paragraph" w:styleId="Heading1">
    <w:name w:val="heading 1"/>
    <w:basedOn w:val="Normal"/>
    <w:next w:val="ParaNum"/>
    <w:link w:val="Heading1Char"/>
    <w:qFormat/>
    <w:rsid w:val="00D26ABA"/>
    <w:pPr>
      <w:keepNext/>
      <w:numPr>
        <w:numId w:val="14"/>
      </w:numPr>
      <w:tabs>
        <w:tab w:val="left" w:pos="720"/>
      </w:tabs>
      <w:suppressAutoHyphens/>
      <w:spacing w:after="120"/>
      <w:outlineLvl w:val="0"/>
    </w:pPr>
    <w:rPr>
      <w:rFonts w:ascii="Times New Roman Bold" w:hAnsi="Times New Roman Bold"/>
      <w:b/>
      <w:caps/>
    </w:rPr>
  </w:style>
  <w:style w:type="paragraph" w:styleId="Heading2">
    <w:name w:val="heading 2"/>
    <w:basedOn w:val="Normal"/>
    <w:next w:val="ParaNum"/>
    <w:link w:val="Heading2Char"/>
    <w:autoRedefine/>
    <w:qFormat/>
    <w:rsid w:val="00D26ABA"/>
    <w:pPr>
      <w:keepNext/>
      <w:numPr>
        <w:ilvl w:val="1"/>
        <w:numId w:val="14"/>
      </w:numPr>
      <w:spacing w:after="120"/>
      <w:outlineLvl w:val="1"/>
    </w:pPr>
    <w:rPr>
      <w:b/>
    </w:rPr>
  </w:style>
  <w:style w:type="paragraph" w:styleId="Heading3">
    <w:name w:val="heading 3"/>
    <w:basedOn w:val="Normal"/>
    <w:next w:val="ParaNum"/>
    <w:link w:val="Heading3Char"/>
    <w:qFormat/>
    <w:rsid w:val="00D26ABA"/>
    <w:pPr>
      <w:keepNext/>
      <w:numPr>
        <w:ilvl w:val="2"/>
        <w:numId w:val="14"/>
      </w:numPr>
      <w:tabs>
        <w:tab w:val="left" w:pos="2160"/>
      </w:tabs>
      <w:spacing w:after="120"/>
      <w:outlineLvl w:val="2"/>
    </w:pPr>
    <w:rPr>
      <w:b/>
    </w:rPr>
  </w:style>
  <w:style w:type="paragraph" w:styleId="Heading4">
    <w:name w:val="heading 4"/>
    <w:basedOn w:val="Normal"/>
    <w:next w:val="ParaNum"/>
    <w:link w:val="Heading4Char"/>
    <w:qFormat/>
    <w:rsid w:val="00D26ABA"/>
    <w:pPr>
      <w:keepNext/>
      <w:numPr>
        <w:ilvl w:val="3"/>
        <w:numId w:val="14"/>
      </w:numPr>
      <w:tabs>
        <w:tab w:val="left" w:pos="2880"/>
      </w:tabs>
      <w:spacing w:after="120"/>
      <w:outlineLvl w:val="3"/>
    </w:pPr>
    <w:rPr>
      <w:b/>
    </w:rPr>
  </w:style>
  <w:style w:type="paragraph" w:styleId="Heading5">
    <w:name w:val="heading 5"/>
    <w:basedOn w:val="Normal"/>
    <w:next w:val="ParaNum"/>
    <w:link w:val="Heading5Char"/>
    <w:qFormat/>
    <w:rsid w:val="00D26ABA"/>
    <w:pPr>
      <w:keepNext/>
      <w:numPr>
        <w:ilvl w:val="4"/>
        <w:numId w:val="14"/>
      </w:numPr>
      <w:tabs>
        <w:tab w:val="left" w:pos="3600"/>
      </w:tabs>
      <w:suppressAutoHyphens/>
      <w:spacing w:after="120"/>
      <w:outlineLvl w:val="4"/>
    </w:pPr>
    <w:rPr>
      <w:b/>
    </w:rPr>
  </w:style>
  <w:style w:type="paragraph" w:styleId="Heading6">
    <w:name w:val="heading 6"/>
    <w:basedOn w:val="Normal"/>
    <w:next w:val="ParaNum"/>
    <w:link w:val="Heading6Char"/>
    <w:qFormat/>
    <w:rsid w:val="00D26ABA"/>
    <w:pPr>
      <w:numPr>
        <w:ilvl w:val="5"/>
        <w:numId w:val="14"/>
      </w:numPr>
      <w:tabs>
        <w:tab w:val="left" w:pos="4320"/>
      </w:tabs>
      <w:spacing w:after="120"/>
      <w:outlineLvl w:val="5"/>
    </w:pPr>
    <w:rPr>
      <w:b/>
    </w:rPr>
  </w:style>
  <w:style w:type="paragraph" w:styleId="Heading7">
    <w:name w:val="heading 7"/>
    <w:basedOn w:val="Normal"/>
    <w:next w:val="ParaNum"/>
    <w:link w:val="Heading7Char"/>
    <w:qFormat/>
    <w:rsid w:val="00D26ABA"/>
    <w:pPr>
      <w:numPr>
        <w:ilvl w:val="6"/>
        <w:numId w:val="14"/>
      </w:numPr>
      <w:tabs>
        <w:tab w:val="left" w:pos="5040"/>
      </w:tabs>
      <w:spacing w:after="120"/>
      <w:ind w:left="5040" w:hanging="720"/>
      <w:outlineLvl w:val="6"/>
    </w:pPr>
    <w:rPr>
      <w:b/>
    </w:rPr>
  </w:style>
  <w:style w:type="paragraph" w:styleId="Heading8">
    <w:name w:val="heading 8"/>
    <w:basedOn w:val="Normal"/>
    <w:next w:val="ParaNum"/>
    <w:link w:val="Heading8Char"/>
    <w:qFormat/>
    <w:rsid w:val="00D26ABA"/>
    <w:pPr>
      <w:numPr>
        <w:ilvl w:val="7"/>
        <w:numId w:val="14"/>
      </w:numPr>
      <w:tabs>
        <w:tab w:val="clear" w:pos="5400"/>
        <w:tab w:val="left" w:pos="5760"/>
      </w:tabs>
      <w:spacing w:after="120"/>
      <w:ind w:left="5760" w:hanging="720"/>
      <w:outlineLvl w:val="7"/>
    </w:pPr>
    <w:rPr>
      <w:b/>
    </w:rPr>
  </w:style>
  <w:style w:type="paragraph" w:styleId="Heading9">
    <w:name w:val="heading 9"/>
    <w:basedOn w:val="Normal"/>
    <w:next w:val="ParaNum"/>
    <w:link w:val="Heading9Char"/>
    <w:qFormat/>
    <w:rsid w:val="00D26ABA"/>
    <w:pPr>
      <w:numPr>
        <w:ilvl w:val="8"/>
        <w:numId w:val="14"/>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rsid w:val="00D26AB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26ABA"/>
  </w:style>
  <w:style w:type="paragraph" w:styleId="FootnoteText">
    <w:name w:val="footnote text"/>
    <w:aliases w:val="ALTS FOOTNOTE Char,Footnote Text Ch,Footnote Text Char2 Char,Footnote Text Char2 Char1 Char1 Char,Footnote Text Char2 Char1 Char1 Char Char Char,Footnote Text Char3 Char1 Char,Footnote Text Char3 Char1 Char Char Char,f,fn,fn Char,fn Char1"/>
    <w:link w:val="FootnoteTextChar"/>
    <w:rsid w:val="00D26ABA"/>
    <w:pPr>
      <w:spacing w:after="120" w:line="240" w:lineRule="auto"/>
    </w:pPr>
    <w:rPr>
      <w:rFonts w:ascii="Times New Roman" w:eastAsia="Times New Roman" w:hAnsi="Times New Roman" w:cs="Times New Roman"/>
      <w:sz w:val="20"/>
      <w:szCs w:val="20"/>
    </w:rPr>
  </w:style>
  <w:style w:type="character" w:customStyle="1" w:styleId="FootnoteTextChar">
    <w:name w:val="Footnote Text Char"/>
    <w:aliases w:val="ALTS FOOTNOTE Char Char,Footnote Text Char2 Char Char,Footnote Text Char2 Char1 Char1 Char Char,Footnote Text Char3 Char1 Char Char,Footnote Text Char3 Char1 Char Char Char Char,f Char,fn Char Char,fn Char1 Char,fn Char2"/>
    <w:basedOn w:val="DefaultParagraphFont"/>
    <w:link w:val="FootnoteText"/>
    <w:rsid w:val="004C7B76"/>
    <w:rPr>
      <w:rFonts w:ascii="Times New Roman" w:eastAsia="Times New Roman" w:hAnsi="Times New Roman" w:cs="Times New Roman"/>
      <w:sz w:val="20"/>
      <w:szCs w:val="20"/>
    </w:rPr>
  </w:style>
  <w:style w:type="character" w:styleId="FootnoteReference">
    <w:name w:val="footnote reference"/>
    <w:aliases w:val="(NECG) Footnote Reference,-E Funotenzeichen,A,Appel note de bas de p,FR,Footnote Reference/,Footnote Reference1,Style 12,Style 124,Style 13,Style 17,Style 20,Style 3,Style 34,Style 4,Style 6,Style 7,Style 9,callout,fr,o"/>
    <w:rsid w:val="00D26ABA"/>
    <w:rPr>
      <w:rFonts w:ascii="Times New Roman" w:hAnsi="Times New Roman"/>
      <w:dstrike w:val="0"/>
      <w:color w:val="auto"/>
      <w:sz w:val="20"/>
      <w:vertAlign w:val="superscript"/>
    </w:rPr>
  </w:style>
  <w:style w:type="paragraph" w:styleId="ListParagraph">
    <w:name w:val="List Paragraph"/>
    <w:link w:val="ListParagraphChar"/>
    <w:uiPriority w:val="34"/>
    <w:qFormat/>
    <w:rsid w:val="00C65DE2"/>
    <w:pPr>
      <w:pBdr>
        <w:top w:val="nil"/>
        <w:left w:val="nil"/>
        <w:bottom w:val="nil"/>
        <w:right w:val="nil"/>
        <w:between w:val="nil"/>
        <w:bar w:val="nil"/>
      </w:pBdr>
      <w:ind w:left="720"/>
    </w:pPr>
    <w:rPr>
      <w:rFonts w:ascii="Calibri" w:eastAsia="Calibri" w:hAnsi="Calibri" w:cs="Calibri"/>
      <w:color w:val="000000"/>
      <w:u w:color="000000"/>
      <w:bdr w:val="nil"/>
    </w:rPr>
  </w:style>
  <w:style w:type="numbering" w:customStyle="1" w:styleId="ImportedStyle2">
    <w:name w:val="Imported Style 2"/>
    <w:rsid w:val="00C65DE2"/>
    <w:pPr>
      <w:numPr>
        <w:numId w:val="1"/>
      </w:numPr>
    </w:pPr>
  </w:style>
  <w:style w:type="character" w:styleId="Hyperlink">
    <w:name w:val="Hyperlink"/>
    <w:rsid w:val="00D26ABA"/>
    <w:rPr>
      <w:color w:val="0000FF"/>
      <w:u w:val="single"/>
    </w:rPr>
  </w:style>
  <w:style w:type="paragraph" w:customStyle="1" w:styleId="Body">
    <w:name w:val="Body"/>
    <w:rsid w:val="00F11772"/>
    <w:pPr>
      <w:pBdr>
        <w:top w:val="nil"/>
        <w:left w:val="nil"/>
        <w:bottom w:val="nil"/>
        <w:right w:val="nil"/>
        <w:between w:val="nil"/>
        <w:bar w:val="nil"/>
      </w:pBdr>
    </w:pPr>
    <w:rPr>
      <w:rFonts w:ascii="Calibri" w:eastAsia="Calibri" w:hAnsi="Calibri" w:cs="Calibri"/>
      <w:color w:val="000000"/>
      <w:u w:color="000000"/>
      <w:bdr w:val="nil"/>
    </w:rPr>
  </w:style>
  <w:style w:type="numbering" w:customStyle="1" w:styleId="ImportedStyle1">
    <w:name w:val="Imported Style 1"/>
    <w:rsid w:val="00F11772"/>
    <w:pPr>
      <w:numPr>
        <w:numId w:val="3"/>
      </w:numPr>
    </w:pPr>
  </w:style>
  <w:style w:type="character" w:styleId="CommentReference">
    <w:name w:val="annotation reference"/>
    <w:basedOn w:val="DefaultParagraphFont"/>
    <w:uiPriority w:val="99"/>
    <w:unhideWhenUsed/>
    <w:rsid w:val="00F11772"/>
    <w:rPr>
      <w:sz w:val="16"/>
      <w:szCs w:val="16"/>
    </w:rPr>
  </w:style>
  <w:style w:type="paragraph" w:styleId="CommentText">
    <w:name w:val="annotation text"/>
    <w:basedOn w:val="Normal"/>
    <w:link w:val="CommentTextChar"/>
    <w:uiPriority w:val="99"/>
    <w:unhideWhenUsed/>
    <w:rsid w:val="00F11772"/>
    <w:rPr>
      <w:sz w:val="20"/>
    </w:rPr>
  </w:style>
  <w:style w:type="character" w:customStyle="1" w:styleId="CommentTextChar">
    <w:name w:val="Comment Text Char"/>
    <w:basedOn w:val="DefaultParagraphFont"/>
    <w:link w:val="CommentText"/>
    <w:uiPriority w:val="99"/>
    <w:rsid w:val="00F1177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11772"/>
    <w:rPr>
      <w:b/>
      <w:bCs/>
    </w:rPr>
  </w:style>
  <w:style w:type="character" w:customStyle="1" w:styleId="CommentSubjectChar">
    <w:name w:val="Comment Subject Char"/>
    <w:basedOn w:val="CommentTextChar"/>
    <w:link w:val="CommentSubject"/>
    <w:uiPriority w:val="99"/>
    <w:semiHidden/>
    <w:rsid w:val="00F11772"/>
    <w:rPr>
      <w:rFonts w:ascii="Times New Roman" w:hAnsi="Times New Roman"/>
      <w:b/>
      <w:bCs/>
      <w:sz w:val="20"/>
      <w:szCs w:val="20"/>
    </w:rPr>
  </w:style>
  <w:style w:type="paragraph" w:styleId="BalloonText">
    <w:name w:val="Balloon Text"/>
    <w:basedOn w:val="Normal"/>
    <w:link w:val="BalloonTextChar"/>
    <w:uiPriority w:val="99"/>
    <w:semiHidden/>
    <w:unhideWhenUsed/>
    <w:rsid w:val="00F117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1772"/>
    <w:rPr>
      <w:rFonts w:ascii="Segoe UI" w:hAnsi="Segoe UI" w:cs="Segoe UI"/>
      <w:sz w:val="18"/>
      <w:szCs w:val="18"/>
    </w:rPr>
  </w:style>
  <w:style w:type="paragraph" w:styleId="Header">
    <w:name w:val="header"/>
    <w:basedOn w:val="Normal"/>
    <w:link w:val="HeaderChar"/>
    <w:autoRedefine/>
    <w:rsid w:val="00D26ABA"/>
    <w:pPr>
      <w:tabs>
        <w:tab w:val="center" w:pos="4680"/>
        <w:tab w:val="right" w:pos="9360"/>
      </w:tabs>
    </w:pPr>
    <w:rPr>
      <w:b/>
    </w:rPr>
  </w:style>
  <w:style w:type="character" w:customStyle="1" w:styleId="HeaderChar">
    <w:name w:val="Header Char"/>
    <w:basedOn w:val="DefaultParagraphFont"/>
    <w:link w:val="Header"/>
    <w:rsid w:val="00203D42"/>
    <w:rPr>
      <w:rFonts w:ascii="Times New Roman" w:eastAsia="Times New Roman" w:hAnsi="Times New Roman" w:cs="Times New Roman"/>
      <w:b/>
      <w:snapToGrid w:val="0"/>
      <w:kern w:val="28"/>
      <w:szCs w:val="20"/>
    </w:rPr>
  </w:style>
  <w:style w:type="paragraph" w:styleId="Footer">
    <w:name w:val="footer"/>
    <w:basedOn w:val="Normal"/>
    <w:link w:val="FooterChar"/>
    <w:uiPriority w:val="99"/>
    <w:rsid w:val="00D26ABA"/>
    <w:pPr>
      <w:tabs>
        <w:tab w:val="center" w:pos="4320"/>
        <w:tab w:val="right" w:pos="8640"/>
      </w:tabs>
    </w:pPr>
  </w:style>
  <w:style w:type="character" w:customStyle="1" w:styleId="FooterChar">
    <w:name w:val="Footer Char"/>
    <w:link w:val="Footer"/>
    <w:uiPriority w:val="99"/>
    <w:rsid w:val="00D26ABA"/>
    <w:rPr>
      <w:rFonts w:ascii="Times New Roman" w:eastAsia="Times New Roman" w:hAnsi="Times New Roman" w:cs="Times New Roman"/>
      <w:snapToGrid w:val="0"/>
      <w:kern w:val="28"/>
      <w:szCs w:val="20"/>
    </w:rPr>
  </w:style>
  <w:style w:type="paragraph" w:styleId="Revision">
    <w:name w:val="Revision"/>
    <w:hidden/>
    <w:uiPriority w:val="99"/>
    <w:semiHidden/>
    <w:rsid w:val="00C44B9B"/>
    <w:pPr>
      <w:spacing w:after="0" w:line="240" w:lineRule="auto"/>
    </w:pPr>
    <w:rPr>
      <w:rFonts w:ascii="Times New Roman" w:hAnsi="Times New Roman"/>
      <w:sz w:val="24"/>
    </w:rPr>
  </w:style>
  <w:style w:type="paragraph" w:customStyle="1" w:styleId="ParaNum">
    <w:name w:val="ParaNum"/>
    <w:basedOn w:val="Normal"/>
    <w:link w:val="ParaNumChar"/>
    <w:rsid w:val="00D26ABA"/>
    <w:pPr>
      <w:numPr>
        <w:numId w:val="7"/>
      </w:numPr>
      <w:tabs>
        <w:tab w:val="clear" w:pos="1080"/>
        <w:tab w:val="num" w:pos="1440"/>
      </w:tabs>
      <w:spacing w:after="120"/>
    </w:pPr>
  </w:style>
  <w:style w:type="character" w:customStyle="1" w:styleId="ParaNumChar">
    <w:name w:val="ParaNum Char"/>
    <w:link w:val="ParaNum"/>
    <w:locked/>
    <w:rsid w:val="006E3FC0"/>
    <w:rPr>
      <w:rFonts w:ascii="Times New Roman" w:eastAsia="Times New Roman" w:hAnsi="Times New Roman" w:cs="Times New Roman"/>
      <w:snapToGrid w:val="0"/>
      <w:kern w:val="28"/>
      <w:szCs w:val="20"/>
    </w:rPr>
  </w:style>
  <w:style w:type="character" w:styleId="FollowedHyperlink">
    <w:name w:val="FollowedHyperlink"/>
    <w:basedOn w:val="DefaultParagraphFont"/>
    <w:uiPriority w:val="99"/>
    <w:semiHidden/>
    <w:unhideWhenUsed/>
    <w:rsid w:val="00E42004"/>
    <w:rPr>
      <w:color w:val="800080" w:themeColor="followedHyperlink"/>
      <w:u w:val="single"/>
    </w:rPr>
  </w:style>
  <w:style w:type="character" w:customStyle="1" w:styleId="ListParagraphChar">
    <w:name w:val="List Paragraph Char"/>
    <w:basedOn w:val="DefaultParagraphFont"/>
    <w:link w:val="ListParagraph"/>
    <w:uiPriority w:val="34"/>
    <w:locked/>
    <w:rsid w:val="00FE5608"/>
    <w:rPr>
      <w:rFonts w:ascii="Calibri" w:eastAsia="Calibri" w:hAnsi="Calibri" w:cs="Calibri"/>
      <w:color w:val="000000"/>
      <w:u w:color="000000"/>
      <w:bdr w:val="nil"/>
    </w:rPr>
  </w:style>
  <w:style w:type="paragraph" w:styleId="NoSpacing">
    <w:name w:val="No Spacing"/>
    <w:aliases w:val="Pers Pref Body,Question Bullet"/>
    <w:link w:val="NoSpacingChar"/>
    <w:uiPriority w:val="1"/>
    <w:qFormat/>
    <w:rsid w:val="001C7611"/>
    <w:pPr>
      <w:spacing w:after="0" w:line="240" w:lineRule="auto"/>
    </w:pPr>
  </w:style>
  <w:style w:type="character" w:customStyle="1" w:styleId="NoSpacingChar">
    <w:name w:val="No Spacing Char"/>
    <w:aliases w:val="Pers Pref Body Char,Question Bullet Char"/>
    <w:basedOn w:val="DefaultParagraphFont"/>
    <w:link w:val="NoSpacing"/>
    <w:uiPriority w:val="1"/>
    <w:rsid w:val="001C7611"/>
  </w:style>
  <w:style w:type="character" w:customStyle="1" w:styleId="Heading1Char">
    <w:name w:val="Heading 1 Char"/>
    <w:basedOn w:val="DefaultParagraphFont"/>
    <w:link w:val="Heading1"/>
    <w:rsid w:val="00F55121"/>
    <w:rPr>
      <w:rFonts w:ascii="Times New Roman Bold" w:eastAsia="Times New Roman" w:hAnsi="Times New Roman Bold" w:cs="Times New Roman"/>
      <w:b/>
      <w:caps/>
      <w:snapToGrid w:val="0"/>
      <w:kern w:val="28"/>
      <w:szCs w:val="20"/>
    </w:rPr>
  </w:style>
  <w:style w:type="paragraph" w:styleId="TOCHeading">
    <w:name w:val="TOC Heading"/>
    <w:basedOn w:val="Heading1"/>
    <w:next w:val="Normal"/>
    <w:uiPriority w:val="39"/>
    <w:unhideWhenUsed/>
    <w:qFormat/>
    <w:rsid w:val="00F55121"/>
    <w:pPr>
      <w:spacing w:line="259" w:lineRule="auto"/>
      <w:outlineLvl w:val="9"/>
    </w:pPr>
  </w:style>
  <w:style w:type="character" w:customStyle="1" w:styleId="Heading2Char">
    <w:name w:val="Heading 2 Char"/>
    <w:basedOn w:val="DefaultParagraphFont"/>
    <w:link w:val="Heading2"/>
    <w:rsid w:val="0031269E"/>
    <w:rPr>
      <w:rFonts w:ascii="Times New Roman" w:eastAsia="Times New Roman" w:hAnsi="Times New Roman" w:cs="Times New Roman"/>
      <w:b/>
      <w:snapToGrid w:val="0"/>
      <w:kern w:val="28"/>
      <w:szCs w:val="20"/>
    </w:rPr>
  </w:style>
  <w:style w:type="character" w:customStyle="1" w:styleId="Heading3Char">
    <w:name w:val="Heading 3 Char"/>
    <w:basedOn w:val="DefaultParagraphFont"/>
    <w:link w:val="Heading3"/>
    <w:rsid w:val="0031269E"/>
    <w:rPr>
      <w:rFonts w:ascii="Times New Roman" w:eastAsia="Times New Roman" w:hAnsi="Times New Roman" w:cs="Times New Roman"/>
      <w:b/>
      <w:snapToGrid w:val="0"/>
      <w:kern w:val="28"/>
      <w:szCs w:val="20"/>
    </w:rPr>
  </w:style>
  <w:style w:type="character" w:customStyle="1" w:styleId="Heading4Char">
    <w:name w:val="Heading 4 Char"/>
    <w:basedOn w:val="DefaultParagraphFont"/>
    <w:link w:val="Heading4"/>
    <w:rsid w:val="0031269E"/>
    <w:rPr>
      <w:rFonts w:ascii="Times New Roman" w:eastAsia="Times New Roman" w:hAnsi="Times New Roman" w:cs="Times New Roman"/>
      <w:b/>
      <w:snapToGrid w:val="0"/>
      <w:kern w:val="28"/>
      <w:szCs w:val="20"/>
    </w:rPr>
  </w:style>
  <w:style w:type="character" w:customStyle="1" w:styleId="Heading5Char">
    <w:name w:val="Heading 5 Char"/>
    <w:basedOn w:val="DefaultParagraphFont"/>
    <w:link w:val="Heading5"/>
    <w:rsid w:val="0031269E"/>
    <w:rPr>
      <w:rFonts w:ascii="Times New Roman" w:eastAsia="Times New Roman" w:hAnsi="Times New Roman" w:cs="Times New Roman"/>
      <w:b/>
      <w:snapToGrid w:val="0"/>
      <w:kern w:val="28"/>
      <w:szCs w:val="20"/>
    </w:rPr>
  </w:style>
  <w:style w:type="character" w:customStyle="1" w:styleId="Heading6Char">
    <w:name w:val="Heading 6 Char"/>
    <w:basedOn w:val="DefaultParagraphFont"/>
    <w:link w:val="Heading6"/>
    <w:rsid w:val="0031269E"/>
    <w:rPr>
      <w:rFonts w:ascii="Times New Roman" w:eastAsia="Times New Roman" w:hAnsi="Times New Roman" w:cs="Times New Roman"/>
      <w:b/>
      <w:snapToGrid w:val="0"/>
      <w:kern w:val="28"/>
      <w:szCs w:val="20"/>
    </w:rPr>
  </w:style>
  <w:style w:type="character" w:customStyle="1" w:styleId="Heading7Char">
    <w:name w:val="Heading 7 Char"/>
    <w:basedOn w:val="DefaultParagraphFont"/>
    <w:link w:val="Heading7"/>
    <w:rsid w:val="0031269E"/>
    <w:rPr>
      <w:rFonts w:ascii="Times New Roman" w:eastAsia="Times New Roman" w:hAnsi="Times New Roman" w:cs="Times New Roman"/>
      <w:b/>
      <w:snapToGrid w:val="0"/>
      <w:kern w:val="28"/>
      <w:szCs w:val="20"/>
    </w:rPr>
  </w:style>
  <w:style w:type="character" w:customStyle="1" w:styleId="Heading8Char">
    <w:name w:val="Heading 8 Char"/>
    <w:basedOn w:val="DefaultParagraphFont"/>
    <w:link w:val="Heading8"/>
    <w:rsid w:val="0031269E"/>
    <w:rPr>
      <w:rFonts w:ascii="Times New Roman" w:eastAsia="Times New Roman" w:hAnsi="Times New Roman" w:cs="Times New Roman"/>
      <w:b/>
      <w:snapToGrid w:val="0"/>
      <w:kern w:val="28"/>
      <w:szCs w:val="20"/>
    </w:rPr>
  </w:style>
  <w:style w:type="character" w:customStyle="1" w:styleId="Heading9Char">
    <w:name w:val="Heading 9 Char"/>
    <w:basedOn w:val="DefaultParagraphFont"/>
    <w:link w:val="Heading9"/>
    <w:rsid w:val="0031269E"/>
    <w:rPr>
      <w:rFonts w:ascii="Times New Roman" w:eastAsia="Times New Roman" w:hAnsi="Times New Roman" w:cs="Times New Roman"/>
      <w:b/>
      <w:snapToGrid w:val="0"/>
      <w:kern w:val="28"/>
      <w:szCs w:val="20"/>
    </w:rPr>
  </w:style>
  <w:style w:type="paragraph" w:styleId="EndnoteText">
    <w:name w:val="endnote text"/>
    <w:basedOn w:val="Normal"/>
    <w:link w:val="EndnoteTextChar"/>
    <w:semiHidden/>
    <w:rsid w:val="00D26ABA"/>
    <w:rPr>
      <w:sz w:val="20"/>
    </w:rPr>
  </w:style>
  <w:style w:type="character" w:customStyle="1" w:styleId="EndnoteTextChar">
    <w:name w:val="Endnote Text Char"/>
    <w:basedOn w:val="DefaultParagraphFont"/>
    <w:link w:val="EndnoteText"/>
    <w:semiHidden/>
    <w:rsid w:val="0031269E"/>
    <w:rPr>
      <w:rFonts w:ascii="Times New Roman" w:eastAsia="Times New Roman" w:hAnsi="Times New Roman" w:cs="Times New Roman"/>
      <w:snapToGrid w:val="0"/>
      <w:kern w:val="28"/>
      <w:sz w:val="20"/>
      <w:szCs w:val="20"/>
    </w:rPr>
  </w:style>
  <w:style w:type="character" w:styleId="EndnoteReference">
    <w:name w:val="endnote reference"/>
    <w:semiHidden/>
    <w:rsid w:val="00D26ABA"/>
    <w:rPr>
      <w:vertAlign w:val="superscript"/>
    </w:rPr>
  </w:style>
  <w:style w:type="paragraph" w:styleId="TOC1">
    <w:name w:val="toc 1"/>
    <w:basedOn w:val="Normal"/>
    <w:next w:val="Normal"/>
    <w:rsid w:val="00D26ABA"/>
    <w:pPr>
      <w:tabs>
        <w:tab w:val="left" w:pos="360"/>
        <w:tab w:val="right" w:leader="dot" w:pos="9360"/>
      </w:tabs>
      <w:suppressAutoHyphens/>
      <w:ind w:left="360" w:right="720" w:hanging="360"/>
    </w:pPr>
    <w:rPr>
      <w:caps/>
      <w:noProof/>
    </w:rPr>
  </w:style>
  <w:style w:type="paragraph" w:styleId="TOC2">
    <w:name w:val="toc 2"/>
    <w:basedOn w:val="Normal"/>
    <w:next w:val="Normal"/>
    <w:rsid w:val="00D26ABA"/>
    <w:pPr>
      <w:tabs>
        <w:tab w:val="left" w:pos="720"/>
        <w:tab w:val="right" w:leader="dot" w:pos="9360"/>
      </w:tabs>
      <w:suppressAutoHyphens/>
      <w:ind w:left="720" w:right="720" w:hanging="360"/>
    </w:pPr>
    <w:rPr>
      <w:noProof/>
    </w:rPr>
  </w:style>
  <w:style w:type="paragraph" w:styleId="TOC3">
    <w:name w:val="toc 3"/>
    <w:basedOn w:val="Normal"/>
    <w:next w:val="Normal"/>
    <w:rsid w:val="00D26ABA"/>
    <w:pPr>
      <w:tabs>
        <w:tab w:val="left" w:pos="1080"/>
        <w:tab w:val="right" w:leader="dot" w:pos="9360"/>
      </w:tabs>
      <w:suppressAutoHyphens/>
      <w:ind w:left="1080" w:right="720" w:hanging="360"/>
    </w:pPr>
    <w:rPr>
      <w:noProof/>
    </w:rPr>
  </w:style>
  <w:style w:type="paragraph" w:styleId="TOC4">
    <w:name w:val="toc 4"/>
    <w:basedOn w:val="Normal"/>
    <w:next w:val="Normal"/>
    <w:autoRedefine/>
    <w:semiHidden/>
    <w:rsid w:val="00D26ABA"/>
    <w:pPr>
      <w:tabs>
        <w:tab w:val="left" w:pos="1440"/>
        <w:tab w:val="right" w:leader="dot" w:pos="9360"/>
      </w:tabs>
      <w:suppressAutoHyphens/>
      <w:ind w:left="1440" w:right="720" w:hanging="360"/>
    </w:pPr>
    <w:rPr>
      <w:noProof/>
    </w:rPr>
  </w:style>
  <w:style w:type="paragraph" w:styleId="TOC5">
    <w:name w:val="toc 5"/>
    <w:basedOn w:val="Normal"/>
    <w:next w:val="Normal"/>
    <w:autoRedefine/>
    <w:semiHidden/>
    <w:rsid w:val="00D26ABA"/>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rsid w:val="00D26ABA"/>
    <w:pPr>
      <w:tabs>
        <w:tab w:val="left" w:pos="2160"/>
        <w:tab w:val="right" w:leader="dot" w:pos="9360"/>
      </w:tabs>
      <w:suppressAutoHyphens/>
      <w:ind w:left="2160" w:hanging="360"/>
    </w:pPr>
    <w:rPr>
      <w:noProof/>
    </w:rPr>
  </w:style>
  <w:style w:type="paragraph" w:styleId="TOC7">
    <w:name w:val="toc 7"/>
    <w:basedOn w:val="Normal"/>
    <w:next w:val="Normal"/>
    <w:autoRedefine/>
    <w:semiHidden/>
    <w:rsid w:val="00D26ABA"/>
    <w:pPr>
      <w:tabs>
        <w:tab w:val="left" w:pos="2520"/>
        <w:tab w:val="right" w:leader="dot" w:pos="9360"/>
      </w:tabs>
      <w:suppressAutoHyphens/>
      <w:ind w:left="2520" w:hanging="360"/>
    </w:pPr>
    <w:rPr>
      <w:noProof/>
    </w:rPr>
  </w:style>
  <w:style w:type="paragraph" w:styleId="TOC8">
    <w:name w:val="toc 8"/>
    <w:basedOn w:val="Normal"/>
    <w:next w:val="Normal"/>
    <w:autoRedefine/>
    <w:semiHidden/>
    <w:rsid w:val="00D26ABA"/>
    <w:pPr>
      <w:tabs>
        <w:tab w:val="left" w:pos="2880"/>
        <w:tab w:val="right" w:leader="dot" w:pos="9360"/>
      </w:tabs>
      <w:suppressAutoHyphens/>
      <w:ind w:left="2880" w:hanging="360"/>
    </w:pPr>
    <w:rPr>
      <w:noProof/>
    </w:rPr>
  </w:style>
  <w:style w:type="paragraph" w:styleId="TOC9">
    <w:name w:val="toc 9"/>
    <w:basedOn w:val="Normal"/>
    <w:next w:val="Normal"/>
    <w:autoRedefine/>
    <w:semiHidden/>
    <w:rsid w:val="00D26ABA"/>
    <w:pPr>
      <w:tabs>
        <w:tab w:val="left" w:pos="3240"/>
        <w:tab w:val="right" w:leader="dot" w:pos="9360"/>
      </w:tabs>
      <w:suppressAutoHyphens/>
      <w:ind w:left="3240" w:hanging="360"/>
    </w:pPr>
    <w:rPr>
      <w:noProof/>
    </w:rPr>
  </w:style>
  <w:style w:type="paragraph" w:styleId="TOAHeading">
    <w:name w:val="toa heading"/>
    <w:basedOn w:val="Normal"/>
    <w:next w:val="Normal"/>
    <w:semiHidden/>
    <w:rsid w:val="00D26ABA"/>
    <w:pPr>
      <w:tabs>
        <w:tab w:val="right" w:pos="9360"/>
      </w:tabs>
      <w:suppressAutoHyphens/>
    </w:pPr>
  </w:style>
  <w:style w:type="character" w:customStyle="1" w:styleId="EquationCaption">
    <w:name w:val="_Equation Caption"/>
    <w:rsid w:val="00D26ABA"/>
  </w:style>
  <w:style w:type="character" w:styleId="PageNumber">
    <w:name w:val="page number"/>
    <w:basedOn w:val="DefaultParagraphFont"/>
    <w:rsid w:val="00D26ABA"/>
  </w:style>
  <w:style w:type="paragraph" w:styleId="BlockText">
    <w:name w:val="Block Text"/>
    <w:basedOn w:val="Normal"/>
    <w:rsid w:val="00D26ABA"/>
    <w:pPr>
      <w:spacing w:after="240"/>
      <w:ind w:left="1440" w:right="1440"/>
    </w:pPr>
  </w:style>
  <w:style w:type="paragraph" w:customStyle="1" w:styleId="Paratitle">
    <w:name w:val="Para title"/>
    <w:basedOn w:val="Normal"/>
    <w:rsid w:val="00D26ABA"/>
    <w:pPr>
      <w:tabs>
        <w:tab w:val="center" w:pos="9270"/>
      </w:tabs>
      <w:spacing w:after="240"/>
    </w:pPr>
    <w:rPr>
      <w:spacing w:val="-2"/>
    </w:rPr>
  </w:style>
  <w:style w:type="paragraph" w:customStyle="1" w:styleId="Bullet">
    <w:name w:val="Bullet"/>
    <w:basedOn w:val="Normal"/>
    <w:rsid w:val="00D26ABA"/>
    <w:pPr>
      <w:tabs>
        <w:tab w:val="left" w:pos="2160"/>
      </w:tabs>
      <w:spacing w:after="220"/>
      <w:ind w:left="2160" w:hanging="720"/>
    </w:pPr>
  </w:style>
  <w:style w:type="paragraph" w:customStyle="1" w:styleId="TableFormat">
    <w:name w:val="TableFormat"/>
    <w:basedOn w:val="Bullet"/>
    <w:rsid w:val="00D26ABA"/>
    <w:pPr>
      <w:tabs>
        <w:tab w:val="clear" w:pos="2160"/>
        <w:tab w:val="left" w:pos="5040"/>
      </w:tabs>
      <w:ind w:left="5040" w:hanging="3600"/>
    </w:pPr>
  </w:style>
  <w:style w:type="paragraph" w:customStyle="1" w:styleId="TOCTitle">
    <w:name w:val="TOC Title"/>
    <w:basedOn w:val="Normal"/>
    <w:rsid w:val="00D26ABA"/>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D26ABA"/>
    <w:pPr>
      <w:jc w:val="center"/>
    </w:pPr>
    <w:rPr>
      <w:rFonts w:ascii="Times New Roman Bold" w:hAnsi="Times New Roman Bold"/>
      <w:b/>
      <w:bCs/>
      <w:caps/>
      <w:szCs w:val="22"/>
    </w:rPr>
  </w:style>
  <w:style w:type="character" w:customStyle="1" w:styleId="UnresolvedMention">
    <w:name w:val="Unresolved Mention"/>
    <w:basedOn w:val="DefaultParagraphFont"/>
    <w:uiPriority w:val="99"/>
    <w:semiHidden/>
    <w:unhideWhenUsed/>
    <w:rsid w:val="00D11E76"/>
    <w:rPr>
      <w:color w:val="605E5C"/>
      <w:shd w:val="clear" w:color="auto" w:fill="E1DFDD"/>
    </w:rPr>
  </w:style>
  <w:style w:type="character" w:styleId="Emphasis">
    <w:name w:val="Emphasis"/>
    <w:basedOn w:val="DefaultParagraphFont"/>
    <w:uiPriority w:val="20"/>
    <w:qFormat/>
    <w:rsid w:val="002679D7"/>
    <w:rPr>
      <w:i/>
      <w:iCs/>
    </w:rPr>
  </w:style>
  <w:style w:type="character" w:customStyle="1" w:styleId="cosearchterm">
    <w:name w:val="co_searchterm"/>
    <w:basedOn w:val="DefaultParagraphFont"/>
    <w:rsid w:val="002679D7"/>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image" Target="media/image2.png" /><Relationship Id="rId13" Type="http://schemas.openxmlformats.org/officeDocument/2006/relationships/image" Target="media/image3.svg" /><Relationship Id="rId14" Type="http://schemas.openxmlformats.org/officeDocument/2006/relationships/image" Target="media/image4.png" /><Relationship Id="rId15" Type="http://schemas.openxmlformats.org/officeDocument/2006/relationships/image" Target="media/image5.svg" /><Relationship Id="rId16" Type="http://schemas.openxmlformats.org/officeDocument/2006/relationships/image" Target="media/image6.png" /><Relationship Id="rId17" Type="http://schemas.openxmlformats.org/officeDocument/2006/relationships/image" Target="media/image7.svg" /><Relationship Id="rId18" Type="http://schemas.openxmlformats.org/officeDocument/2006/relationships/image" Target="media/image8.png" /><Relationship Id="rId19" Type="http://schemas.openxmlformats.org/officeDocument/2006/relationships/image" Target="media/image9.svg" /><Relationship Id="rId2" Type="http://schemas.openxmlformats.org/officeDocument/2006/relationships/settings" Target="settings.xml" /><Relationship Id="rId20" Type="http://schemas.openxmlformats.org/officeDocument/2006/relationships/image" Target="media/image10.png" /><Relationship Id="rId21" Type="http://schemas.openxmlformats.org/officeDocument/2006/relationships/image" Target="media/image11.svg" /><Relationship Id="rId22" Type="http://schemas.openxmlformats.org/officeDocument/2006/relationships/header" Target="header4.xml" /><Relationship Id="rId23" Type="http://schemas.openxmlformats.org/officeDocument/2006/relationships/header" Target="header5.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image" Target="media/image1.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footer" Target="footer2.xml" /></Relationships>
</file>

<file path=word/_rels/footnotes.xml.rels>&#65279;<?xml version="1.0" encoding="utf-8" standalone="yes"?><Relationships xmlns="http://schemas.openxmlformats.org/package/2006/relationships"><Relationship Id="rId1" Type="http://schemas.openxmlformats.org/officeDocument/2006/relationships/hyperlink" Target="https://www.fcc.gov/general/broadband-deployment-data-fcc-form-477" TargetMode="External" /><Relationship Id="rId10" Type="http://schemas.openxmlformats.org/officeDocument/2006/relationships/hyperlink" Target="https://www.fcc.gov/auction/101" TargetMode="External" /><Relationship Id="rId11" Type="http://schemas.openxmlformats.org/officeDocument/2006/relationships/hyperlink" Target="https://www.fcc.gov/auction/102" TargetMode="External" /><Relationship Id="rId2" Type="http://schemas.openxmlformats.org/officeDocument/2006/relationships/hyperlink" Target="https://www.fcc.gov/mobile-deployment-form-477-data" TargetMode="External" /><Relationship Id="rId3" Type="http://schemas.openxmlformats.org/officeDocument/2006/relationships/hyperlink" Target="https://www.fcc.gov/reports-research/data/staff-block-estimates" TargetMode="External" /><Relationship Id="rId4" Type="http://schemas.openxmlformats.org/officeDocument/2006/relationships/hyperlink" Target="https://www.fcc.gov/general/explanation-broadband-deployment-data" TargetMode="External" /><Relationship Id="rId5" Type="http://schemas.openxmlformats.org/officeDocument/2006/relationships/hyperlink" Target="https://www.census.gov/housing/hvs/definitions.pdf" TargetMode="External" /><Relationship Id="rId6" Type="http://schemas.openxmlformats.org/officeDocument/2006/relationships/hyperlink" Target="https://www.fcc.gov/document/carriers-accept-over-15-b-support-expand-rural-broadband" TargetMode="External" /><Relationship Id="rId7" Type="http://schemas.openxmlformats.org/officeDocument/2006/relationships/hyperlink" Target="https://www.fcc.gov/reports-research/maps/mobility-fund-ii-initial-eligible-areas-map/" TargetMode="External" /><Relationship Id="rId8" Type="http://schemas.openxmlformats.org/officeDocument/2006/relationships/hyperlink" Target="https://docs.fcc.gov/public/attachments/DOC-355447A1.pdf" TargetMode="External" /><Relationship Id="rId9" Type="http://schemas.openxmlformats.org/officeDocument/2006/relationships/hyperlink" Target="https://www.fcc.gov/about-fcc/fcc-initiatives/incentive-auctions" TargetMode="External" /></Relationships>
</file>

<file path=word/_rels/settings.xml.rels>&#65279;<?xml version="1.0" encoding="utf-8" standalone="yes"?><Relationships xmlns="http://schemas.openxmlformats.org/package/2006/relationships"><Relationship Id="rId1" Type="http://schemas.openxmlformats.org/officeDocument/2006/relationships/attachedTemplate" Target="file:///M:\Forms\OS%20Process\Orders%20TOC%20by%20Paragraph.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48B51-207A-47FA-8FC2-7BC19491E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TOC by Paragraph</Template>
  <TotalTime>1</TotalTime>
  <Pages>21</Pages>
  <Words>7099</Words>
  <Characters>40466</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Yelen</dc:creator>
  <cp:lastModifiedBy>Jesse Jachman</cp:lastModifiedBy>
  <cp:revision>2</cp:revision>
  <cp:lastPrinted>2019-03-06T14:00:00Z</cp:lastPrinted>
  <dcterms:created xsi:type="dcterms:W3CDTF">2019-04-30T16:04:00Z</dcterms:created>
  <dcterms:modified xsi:type="dcterms:W3CDTF">2019-04-30T16:04:00Z</dcterms:modified>
</cp:coreProperties>
</file>