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03AE8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22F21">
        <w:rPr>
          <w:b/>
          <w:sz w:val="28"/>
          <w:szCs w:val="28"/>
        </w:rPr>
        <w:t>31</w:t>
      </w:r>
      <w:r w:rsidR="0098523D">
        <w:rPr>
          <w:b/>
          <w:sz w:val="28"/>
          <w:szCs w:val="28"/>
        </w:rPr>
        <w:t>2</w:t>
      </w:r>
      <w:r w:rsidR="00011846">
        <w:rPr>
          <w:b/>
          <w:sz w:val="28"/>
          <w:szCs w:val="28"/>
        </w:rPr>
        <w:t>6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3016FF">
        <w:rPr>
          <w:b/>
          <w:sz w:val="28"/>
          <w:szCs w:val="28"/>
        </w:rPr>
        <w:t xml:space="preserve">       </w:t>
      </w:r>
      <w:r w:rsidR="005846A7">
        <w:rPr>
          <w:b/>
          <w:sz w:val="28"/>
          <w:szCs w:val="28"/>
        </w:rPr>
        <w:t xml:space="preserve"> </w:t>
      </w:r>
      <w:r w:rsidR="003016FF">
        <w:rPr>
          <w:b/>
          <w:sz w:val="28"/>
          <w:szCs w:val="28"/>
        </w:rPr>
        <w:t xml:space="preserve">  </w:t>
      </w:r>
      <w:r w:rsidR="00011846">
        <w:rPr>
          <w:b/>
          <w:sz w:val="28"/>
          <w:szCs w:val="28"/>
        </w:rPr>
        <w:t>May 1</w:t>
      </w:r>
      <w:r w:rsidR="00E90983">
        <w:rPr>
          <w:b/>
          <w:sz w:val="28"/>
          <w:szCs w:val="28"/>
        </w:rPr>
        <w:t>, 2019</w:t>
      </w:r>
    </w:p>
    <w:p w:rsidR="00833504" w:rsidRPr="00264D2E" w:rsidP="009207DA">
      <w:pPr>
        <w:rPr>
          <w:b/>
          <w:sz w:val="28"/>
          <w:szCs w:val="28"/>
        </w:rPr>
      </w:pPr>
    </w:p>
    <w:p w:rsidR="004A0D4D" w:rsidRPr="00264D2E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>
      <w:pPr>
        <w:jc w:val="center"/>
        <w:rPr>
          <w:b/>
          <w:sz w:val="28"/>
          <w:szCs w:val="28"/>
          <w:u w:val="single"/>
        </w:rPr>
      </w:pPr>
    </w:p>
    <w:p w:rsidR="004A0D4D" w:rsidRPr="00264D2E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</w:t>
      </w:r>
      <w:r w:rsidR="000F44F2">
        <w:rPr>
          <w:sz w:val="28"/>
          <w:szCs w:val="28"/>
        </w:rPr>
        <w:t xml:space="preserve"> </w:t>
      </w:r>
      <w:r w:rsidRPr="00264D2E">
        <w:rPr>
          <w:sz w:val="28"/>
          <w:szCs w:val="28"/>
        </w:rPr>
        <w:t xml:space="preserve">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  <w:r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>
        <w:rPr>
          <w:b/>
          <w:sz w:val="28"/>
          <w:szCs w:val="28"/>
        </w:rPr>
        <w:fldChar w:fldCharType="end"/>
      </w:r>
    </w:p>
    <w:p w:rsidR="007B5D96" w:rsidRPr="00264D2E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011846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DATE RECEIVED</w:t>
      </w:r>
      <w:r w:rsidRPr="00264D2E">
        <w:rPr>
          <w:b/>
          <w:sz w:val="28"/>
          <w:szCs w:val="28"/>
        </w:rPr>
        <w:tab/>
      </w:r>
      <w:r w:rsidR="005C4442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F37BBF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 w:rsidR="00A22F21">
        <w:rPr>
          <w:sz w:val="28"/>
          <w:szCs w:val="28"/>
        </w:rPr>
        <w:t>3</w:t>
      </w:r>
      <w:r w:rsidR="00011846">
        <w:rPr>
          <w:sz w:val="28"/>
          <w:szCs w:val="28"/>
        </w:rPr>
        <w:t>9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  </w:t>
      </w:r>
      <w:r w:rsidR="00AD6128">
        <w:rPr>
          <w:sz w:val="28"/>
          <w:szCs w:val="28"/>
        </w:rPr>
        <w:t xml:space="preserve">  </w:t>
      </w:r>
      <w:r w:rsidR="005846A7">
        <w:rPr>
          <w:sz w:val="28"/>
          <w:szCs w:val="28"/>
        </w:rPr>
        <w:t xml:space="preserve">Parts </w:t>
      </w:r>
      <w:r w:rsidR="00011846">
        <w:rPr>
          <w:sz w:val="28"/>
          <w:szCs w:val="28"/>
        </w:rPr>
        <w:t>2</w:t>
      </w:r>
      <w:r w:rsidR="005846A7">
        <w:rPr>
          <w:sz w:val="28"/>
          <w:szCs w:val="28"/>
        </w:rPr>
        <w:t xml:space="preserve"> and</w:t>
      </w:r>
      <w:r w:rsidR="00AD6128">
        <w:rPr>
          <w:sz w:val="28"/>
          <w:szCs w:val="28"/>
        </w:rPr>
        <w:t xml:space="preserve"> </w:t>
      </w:r>
      <w:r w:rsidR="00A22F21">
        <w:rPr>
          <w:sz w:val="28"/>
          <w:szCs w:val="28"/>
        </w:rPr>
        <w:t xml:space="preserve">    </w:t>
      </w:r>
      <w:r w:rsidR="00011846">
        <w:rPr>
          <w:sz w:val="28"/>
          <w:szCs w:val="28"/>
        </w:rPr>
        <w:t xml:space="preserve">        SES Americom, </w:t>
      </w:r>
      <w:r>
        <w:rPr>
          <w:sz w:val="28"/>
          <w:szCs w:val="28"/>
        </w:rPr>
        <w:t xml:space="preserve">      </w:t>
      </w:r>
      <w:r w:rsidR="00011846">
        <w:rPr>
          <w:sz w:val="28"/>
          <w:szCs w:val="28"/>
        </w:rPr>
        <w:t>3/5/2019</w:t>
      </w:r>
      <w:r>
        <w:rPr>
          <w:sz w:val="28"/>
          <w:szCs w:val="28"/>
        </w:rPr>
        <w:t xml:space="preserve">           </w:t>
      </w:r>
      <w:r w:rsidR="00A22F21">
        <w:rPr>
          <w:sz w:val="28"/>
          <w:szCs w:val="28"/>
        </w:rPr>
        <w:t xml:space="preserve">    </w:t>
      </w:r>
      <w:r w:rsidR="00E90983">
        <w:rPr>
          <w:sz w:val="28"/>
          <w:szCs w:val="28"/>
        </w:rPr>
        <w:t xml:space="preserve">         </w:t>
      </w:r>
      <w:r w:rsidR="005846A7">
        <w:rPr>
          <w:sz w:val="28"/>
          <w:szCs w:val="28"/>
        </w:rPr>
        <w:t xml:space="preserve"> </w:t>
      </w:r>
      <w:r w:rsidR="00E90983">
        <w:rPr>
          <w:sz w:val="28"/>
          <w:szCs w:val="28"/>
        </w:rPr>
        <w:t xml:space="preserve"> </w:t>
      </w:r>
      <w:r w:rsidR="00011846">
        <w:rPr>
          <w:sz w:val="28"/>
          <w:szCs w:val="28"/>
        </w:rPr>
        <w:t>Amendment of Parts 2 and 25 of the</w:t>
      </w:r>
      <w:r w:rsidR="005846A7">
        <w:rPr>
          <w:sz w:val="28"/>
          <w:szCs w:val="28"/>
        </w:rPr>
        <w:t xml:space="preserve"> </w:t>
      </w:r>
      <w:r w:rsidR="00E90983">
        <w:rPr>
          <w:sz w:val="28"/>
          <w:szCs w:val="28"/>
        </w:rPr>
        <w:t xml:space="preserve">               </w:t>
      </w:r>
      <w:r w:rsidR="003016FF">
        <w:rPr>
          <w:sz w:val="28"/>
          <w:szCs w:val="28"/>
        </w:rPr>
        <w:t xml:space="preserve"> </w:t>
      </w:r>
    </w:p>
    <w:p w:rsidR="00566F3C" w:rsidP="005846A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1846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</w:t>
      </w:r>
      <w:r w:rsidR="00011846">
        <w:rPr>
          <w:sz w:val="28"/>
          <w:szCs w:val="28"/>
        </w:rPr>
        <w:t>Inc.</w:t>
      </w:r>
      <w:r>
        <w:rPr>
          <w:sz w:val="28"/>
          <w:szCs w:val="28"/>
        </w:rPr>
        <w:t xml:space="preserve">                                                                   </w:t>
      </w:r>
      <w:r w:rsidR="00011846">
        <w:rPr>
          <w:sz w:val="28"/>
          <w:szCs w:val="28"/>
        </w:rPr>
        <w:t xml:space="preserve">Commission’s Rules to Enable </w:t>
      </w:r>
      <w:r>
        <w:rPr>
          <w:sz w:val="28"/>
          <w:szCs w:val="28"/>
        </w:rPr>
        <w:t xml:space="preserve">      </w:t>
      </w:r>
      <w:r w:rsidR="005846A7">
        <w:rPr>
          <w:sz w:val="28"/>
          <w:szCs w:val="28"/>
        </w:rPr>
        <w:t xml:space="preserve"> </w:t>
      </w:r>
    </w:p>
    <w:p w:rsidR="00E320B5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11846">
        <w:rPr>
          <w:sz w:val="28"/>
          <w:szCs w:val="28"/>
        </w:rPr>
        <w:t>Primary Fixed-Satellite Service</w:t>
      </w:r>
    </w:p>
    <w:p w:rsidR="00E320B5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11846">
        <w:rPr>
          <w:sz w:val="28"/>
          <w:szCs w:val="28"/>
        </w:rPr>
        <w:t>(Space-to-Earth) Operations in the</w:t>
      </w:r>
    </w:p>
    <w:p w:rsidR="00E320B5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11846">
        <w:rPr>
          <w:sz w:val="28"/>
          <w:szCs w:val="28"/>
        </w:rPr>
        <w:t>17.3-17.7 GHz Band</w:t>
      </w:r>
    </w:p>
    <w:p w:rsidR="00E320B5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320B5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D5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AD6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D6128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E320B5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D61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</w:p>
    <w:p w:rsidR="00A22F21" w:rsidP="00AD6128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6128">
        <w:rPr>
          <w:sz w:val="28"/>
          <w:szCs w:val="28"/>
        </w:rPr>
        <w:t>(</w:t>
      </w:r>
      <w:r w:rsidR="00011846">
        <w:rPr>
          <w:sz w:val="28"/>
          <w:szCs w:val="28"/>
        </w:rPr>
        <w:t>Petra A</w:t>
      </w:r>
      <w:r w:rsidR="00DD5115">
        <w:rPr>
          <w:sz w:val="28"/>
          <w:szCs w:val="28"/>
        </w:rPr>
        <w:t xml:space="preserve">. </w:t>
      </w:r>
      <w:r w:rsidR="00011846">
        <w:rPr>
          <w:sz w:val="28"/>
          <w:szCs w:val="28"/>
        </w:rPr>
        <w:t>Vorwig</w:t>
      </w:r>
    </w:p>
    <w:p w:rsidR="00A22F21" w:rsidP="00AD6128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11846">
        <w:rPr>
          <w:sz w:val="28"/>
          <w:szCs w:val="28"/>
        </w:rPr>
        <w:t>1129 20</w:t>
      </w:r>
      <w:r w:rsidRPr="00011846" w:rsidR="00011846">
        <w:rPr>
          <w:sz w:val="28"/>
          <w:szCs w:val="28"/>
          <w:vertAlign w:val="superscript"/>
        </w:rPr>
        <w:t>th</w:t>
      </w:r>
      <w:r w:rsidR="00011846">
        <w:rPr>
          <w:sz w:val="28"/>
          <w:szCs w:val="28"/>
        </w:rPr>
        <w:t xml:space="preserve"> Street, N.W., Suite 1000</w:t>
      </w:r>
      <w:r w:rsidR="00F37BBF">
        <w:rPr>
          <w:sz w:val="28"/>
          <w:szCs w:val="28"/>
        </w:rPr>
        <w:t xml:space="preserve"> </w:t>
      </w:r>
    </w:p>
    <w:p w:rsidR="00E2071A" w:rsidP="00AD6128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11846">
        <w:rPr>
          <w:sz w:val="28"/>
          <w:szCs w:val="28"/>
        </w:rPr>
        <w:t>Washington, D.C. 20036</w:t>
      </w:r>
      <w:r w:rsidR="00AD6128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P="0014732A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44808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>
    <w:pPr>
      <w:pStyle w:val="Heading2"/>
    </w:pPr>
    <w:r>
      <w:tab/>
      <w:t>Federal Communications Commission</w:t>
    </w:r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>
    <w:pPr>
      <w:pStyle w:val="Header"/>
      <w:pBdr>
        <w:bottom w:val="single" w:sz="12" w:space="1" w:color="auto"/>
      </w:pBdr>
    </w:pPr>
  </w:p>
  <w:p w:rsidR="0062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AE8"/>
    <w:rsid w:val="00004F28"/>
    <w:rsid w:val="000053A0"/>
    <w:rsid w:val="00010F5D"/>
    <w:rsid w:val="00011154"/>
    <w:rsid w:val="00011846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2DE2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2DA"/>
    <w:rsid w:val="000F3BC1"/>
    <w:rsid w:val="000F423D"/>
    <w:rsid w:val="000F44F2"/>
    <w:rsid w:val="000F55CE"/>
    <w:rsid w:val="00104577"/>
    <w:rsid w:val="00104E0B"/>
    <w:rsid w:val="00111B48"/>
    <w:rsid w:val="00111C02"/>
    <w:rsid w:val="00117616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2641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16FF"/>
    <w:rsid w:val="00301BA0"/>
    <w:rsid w:val="00303143"/>
    <w:rsid w:val="0030423D"/>
    <w:rsid w:val="003057FD"/>
    <w:rsid w:val="0031060E"/>
    <w:rsid w:val="00322B6B"/>
    <w:rsid w:val="003243D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1CD0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33A1"/>
    <w:rsid w:val="004150B0"/>
    <w:rsid w:val="004221A5"/>
    <w:rsid w:val="00423E96"/>
    <w:rsid w:val="00426795"/>
    <w:rsid w:val="0042698F"/>
    <w:rsid w:val="0042726C"/>
    <w:rsid w:val="004315F7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3A79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59B"/>
    <w:rsid w:val="00550039"/>
    <w:rsid w:val="00550FC5"/>
    <w:rsid w:val="00551A65"/>
    <w:rsid w:val="005525CA"/>
    <w:rsid w:val="005533C7"/>
    <w:rsid w:val="00554F64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846A7"/>
    <w:rsid w:val="005926E9"/>
    <w:rsid w:val="005934B7"/>
    <w:rsid w:val="0059563B"/>
    <w:rsid w:val="00595BE2"/>
    <w:rsid w:val="005965D3"/>
    <w:rsid w:val="00596A9E"/>
    <w:rsid w:val="00597A29"/>
    <w:rsid w:val="00597F26"/>
    <w:rsid w:val="005A054E"/>
    <w:rsid w:val="005A506C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2D32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31CA"/>
    <w:rsid w:val="00657D75"/>
    <w:rsid w:val="00661160"/>
    <w:rsid w:val="00666850"/>
    <w:rsid w:val="00667265"/>
    <w:rsid w:val="006676DA"/>
    <w:rsid w:val="00671801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1C29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49FF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67484"/>
    <w:rsid w:val="007700BF"/>
    <w:rsid w:val="00773B1D"/>
    <w:rsid w:val="00773F4F"/>
    <w:rsid w:val="00774838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8F0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523D"/>
    <w:rsid w:val="00986F66"/>
    <w:rsid w:val="00987C39"/>
    <w:rsid w:val="00990F81"/>
    <w:rsid w:val="00991672"/>
    <w:rsid w:val="009950C4"/>
    <w:rsid w:val="00996ED1"/>
    <w:rsid w:val="009A75C9"/>
    <w:rsid w:val="009A7DCC"/>
    <w:rsid w:val="009B3BD5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2F21"/>
    <w:rsid w:val="00A253FA"/>
    <w:rsid w:val="00A25EB5"/>
    <w:rsid w:val="00A279D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6189B"/>
    <w:rsid w:val="00A6407C"/>
    <w:rsid w:val="00A720FC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128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EB7"/>
    <w:rsid w:val="00D01017"/>
    <w:rsid w:val="00D01481"/>
    <w:rsid w:val="00D03964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54CF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409"/>
    <w:rsid w:val="00DC583A"/>
    <w:rsid w:val="00DC779B"/>
    <w:rsid w:val="00DC7A77"/>
    <w:rsid w:val="00DD1ABB"/>
    <w:rsid w:val="00DD5115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320B5"/>
    <w:rsid w:val="00E460FE"/>
    <w:rsid w:val="00E4781F"/>
    <w:rsid w:val="00E51DA9"/>
    <w:rsid w:val="00E537EF"/>
    <w:rsid w:val="00E53B11"/>
    <w:rsid w:val="00E54F84"/>
    <w:rsid w:val="00E62C32"/>
    <w:rsid w:val="00E64F8F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21F0"/>
    <w:rsid w:val="00EF6219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A9E"/>
    <w:rsid w:val="00F16ADE"/>
    <w:rsid w:val="00F17219"/>
    <w:rsid w:val="00F206FB"/>
    <w:rsid w:val="00F30A03"/>
    <w:rsid w:val="00F318B2"/>
    <w:rsid w:val="00F3671B"/>
    <w:rsid w:val="00F37BBF"/>
    <w:rsid w:val="00F408E5"/>
    <w:rsid w:val="00F40B1C"/>
    <w:rsid w:val="00F42447"/>
    <w:rsid w:val="00F42F64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A73EC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4FD2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