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1BC28BBC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5110730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9496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94DB00D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467C6FB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C494001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253</w:t>
            </w:r>
          </w:p>
          <w:p w:rsidR="00FF232D" w:rsidRPr="008A3940" w:rsidP="00BB4E29" w14:paraId="512968BD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3CA3F699" w14:textId="77777777">
            <w:pPr>
              <w:rPr>
                <w:bCs/>
                <w:sz w:val="22"/>
                <w:szCs w:val="22"/>
              </w:rPr>
            </w:pPr>
          </w:p>
          <w:p w:rsidR="007A44F8" w:rsidP="00BB4E29" w14:paraId="7938208C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2759AB" w:rsidRPr="008A3940" w:rsidP="00BB4E29" w14:paraId="79459A4F" w14:textId="77777777">
            <w:pPr>
              <w:rPr>
                <w:b/>
                <w:sz w:val="22"/>
                <w:szCs w:val="22"/>
              </w:rPr>
            </w:pPr>
          </w:p>
          <w:p w:rsidR="0007798D" w:rsidP="0007798D" w14:paraId="743590CD" w14:textId="77777777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</w:p>
          <w:p w:rsidR="0092275A" w:rsidP="00C10D81" w14:paraId="7E3DC7D9" w14:textId="3FA6F923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FCC </w:t>
            </w:r>
            <w:r w:rsidR="00C10D81">
              <w:rPr>
                <w:b/>
                <w:bCs/>
              </w:rPr>
              <w:t xml:space="preserve">OFFERS </w:t>
            </w:r>
            <w:r>
              <w:rPr>
                <w:b/>
                <w:bCs/>
              </w:rPr>
              <w:t xml:space="preserve">INCENTIVES FOR OVER 500 RURAL CARRIERS TO PROVIDE FASTER BROADBAND </w:t>
            </w:r>
            <w:r w:rsidR="00C10D81">
              <w:rPr>
                <w:b/>
                <w:bCs/>
              </w:rPr>
              <w:t>TO</w:t>
            </w:r>
            <w:r>
              <w:rPr>
                <w:b/>
                <w:bCs/>
              </w:rPr>
              <w:t xml:space="preserve"> </w:t>
            </w:r>
            <w:r w:rsidRPr="0007798D">
              <w:rPr>
                <w:b/>
                <w:bCs/>
              </w:rPr>
              <w:t xml:space="preserve">OVER </w:t>
            </w:r>
            <w:r w:rsidRPr="00C10D81">
              <w:rPr>
                <w:b/>
                <w:bCs/>
              </w:rPr>
              <w:t>1 MILLION RURAL HOMES</w:t>
            </w:r>
            <w:r w:rsidR="00C10D81">
              <w:rPr>
                <w:b/>
                <w:bCs/>
              </w:rPr>
              <w:t xml:space="preserve"> AND BUSINESSES</w:t>
            </w:r>
            <w:r w:rsidRPr="00C10D81">
              <w:rPr>
                <w:b/>
                <w:bCs/>
              </w:rPr>
              <w:t xml:space="preserve"> </w:t>
            </w:r>
          </w:p>
          <w:p w:rsidR="00756CC3" w:rsidP="00BB4E29" w14:paraId="58223C35" w14:textId="03B08BE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FCC Taking</w:t>
            </w:r>
            <w:r w:rsidR="00BB7CF9">
              <w:rPr>
                <w:b/>
                <w:bCs/>
                <w:i/>
                <w:sz w:val="22"/>
                <w:szCs w:val="22"/>
              </w:rPr>
              <w:t xml:space="preserve"> Further </w:t>
            </w:r>
            <w:r>
              <w:rPr>
                <w:b/>
                <w:bCs/>
                <w:i/>
                <w:sz w:val="22"/>
                <w:szCs w:val="22"/>
              </w:rPr>
              <w:t>Steps to Modernize</w:t>
            </w:r>
            <w:r w:rsidR="00AA56F6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D7BE4">
              <w:rPr>
                <w:b/>
                <w:bCs/>
                <w:i/>
                <w:sz w:val="22"/>
                <w:szCs w:val="22"/>
              </w:rPr>
              <w:t>a</w:t>
            </w:r>
            <w:r w:rsidR="00AA56F6">
              <w:rPr>
                <w:b/>
                <w:bCs/>
                <w:i/>
                <w:sz w:val="22"/>
                <w:szCs w:val="22"/>
              </w:rPr>
              <w:t>nd Increase Accountability</w:t>
            </w:r>
            <w:r w:rsidR="0007798D">
              <w:rPr>
                <w:b/>
                <w:bCs/>
                <w:i/>
                <w:sz w:val="22"/>
                <w:szCs w:val="22"/>
              </w:rPr>
              <w:t xml:space="preserve"> i</w:t>
            </w:r>
            <w:r w:rsidR="00AA56F6">
              <w:rPr>
                <w:b/>
                <w:bCs/>
                <w:i/>
                <w:sz w:val="22"/>
                <w:szCs w:val="22"/>
              </w:rPr>
              <w:t xml:space="preserve">n </w:t>
            </w:r>
            <w:r w:rsidR="00BB7CF9">
              <w:rPr>
                <w:b/>
                <w:bCs/>
                <w:i/>
                <w:sz w:val="22"/>
                <w:szCs w:val="22"/>
              </w:rPr>
              <w:t>Its Universal Service Support Program for Rural Broadband</w:t>
            </w:r>
          </w:p>
          <w:p w:rsidR="00F61155" w:rsidRPr="00846094" w:rsidP="00BB4E29" w14:paraId="2328D97A" w14:textId="7B892A21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2"/>
                <w:szCs w:val="22"/>
              </w:rPr>
            </w:pPr>
            <w:r w:rsidRPr="00846094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846094" w:rsidR="00F228ED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846094" w:rsidR="00F228ED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>--</w:t>
            </w:r>
            <w:r w:rsidRPr="00846094" w:rsidR="00347716"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  <w:t xml:space="preserve"> </w:t>
            </w:r>
          </w:p>
          <w:p w:rsidR="00BB7CF9" w:rsidP="00040127" w14:paraId="5F854E95" w14:textId="3B4E077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WASHINGTON</w:t>
            </w:r>
            <w:r w:rsidRPr="00674DE4">
              <w:rPr>
                <w:sz w:val="22"/>
                <w:szCs w:val="22"/>
              </w:rPr>
              <w:t xml:space="preserve">, </w:t>
            </w:r>
            <w:r w:rsidRPr="00674DE4" w:rsidR="00674DE4">
              <w:rPr>
                <w:sz w:val="22"/>
                <w:szCs w:val="22"/>
              </w:rPr>
              <w:t>May 2</w:t>
            </w:r>
            <w:r w:rsidRPr="00674DE4" w:rsidR="00065E2D">
              <w:rPr>
                <w:sz w:val="22"/>
                <w:szCs w:val="22"/>
              </w:rPr>
              <w:t>,</w:t>
            </w:r>
            <w:r w:rsidR="00065E2D">
              <w:rPr>
                <w:sz w:val="22"/>
                <w:szCs w:val="22"/>
              </w:rPr>
              <w:t xml:space="preserve"> 201</w:t>
            </w:r>
            <w:r w:rsidR="007475A1">
              <w:rPr>
                <w:sz w:val="22"/>
                <w:szCs w:val="22"/>
              </w:rPr>
              <w:t>9</w:t>
            </w:r>
            <w:r w:rsidR="00D861EE">
              <w:rPr>
                <w:sz w:val="22"/>
                <w:szCs w:val="22"/>
              </w:rPr>
              <w:t>—</w:t>
            </w:r>
            <w:r w:rsidR="00303BDA">
              <w:rPr>
                <w:sz w:val="22"/>
                <w:szCs w:val="22"/>
              </w:rPr>
              <w:t>The Federal Communications Commission</w:t>
            </w:r>
            <w:r w:rsidR="00846094">
              <w:rPr>
                <w:sz w:val="22"/>
                <w:szCs w:val="22"/>
              </w:rPr>
              <w:t xml:space="preserve"> </w:t>
            </w:r>
            <w:r w:rsidR="00303BDA">
              <w:rPr>
                <w:sz w:val="22"/>
                <w:szCs w:val="22"/>
              </w:rPr>
              <w:t>took steps</w:t>
            </w:r>
            <w:r w:rsidR="00C10D81">
              <w:rPr>
                <w:sz w:val="22"/>
                <w:szCs w:val="22"/>
              </w:rPr>
              <w:t xml:space="preserve"> </w:t>
            </w:r>
            <w:r w:rsidR="007661BD">
              <w:rPr>
                <w:sz w:val="22"/>
                <w:szCs w:val="22"/>
              </w:rPr>
              <w:t xml:space="preserve">today </w:t>
            </w:r>
            <w:r w:rsidR="0007798D">
              <w:rPr>
                <w:sz w:val="22"/>
                <w:szCs w:val="22"/>
              </w:rPr>
              <w:t xml:space="preserve">that could result in over 1 million rural homes getting faster broadband service. </w:t>
            </w:r>
            <w:r w:rsidR="007661BD">
              <w:rPr>
                <w:sz w:val="22"/>
                <w:szCs w:val="22"/>
              </w:rPr>
              <w:t xml:space="preserve"> </w:t>
            </w:r>
            <w:r w:rsidR="00303BDA">
              <w:rPr>
                <w:sz w:val="22"/>
                <w:szCs w:val="22"/>
              </w:rPr>
              <w:t xml:space="preserve">Specifically, the FCC’s Wireline Competition Bureau </w:t>
            </w:r>
            <w:r w:rsidR="00522ADF">
              <w:rPr>
                <w:sz w:val="22"/>
                <w:szCs w:val="22"/>
              </w:rPr>
              <w:t>extend</w:t>
            </w:r>
            <w:r w:rsidR="008755C7">
              <w:rPr>
                <w:sz w:val="22"/>
                <w:szCs w:val="22"/>
              </w:rPr>
              <w:t>ed</w:t>
            </w:r>
            <w:r w:rsidR="00D77C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offers </w:t>
            </w:r>
            <w:r w:rsidR="00C10D81">
              <w:rPr>
                <w:sz w:val="22"/>
                <w:szCs w:val="22"/>
              </w:rPr>
              <w:t xml:space="preserve">of broadband subsidies </w:t>
            </w:r>
            <w:r w:rsidR="00522ADF">
              <w:rPr>
                <w:sz w:val="22"/>
                <w:szCs w:val="22"/>
              </w:rPr>
              <w:t>to</w:t>
            </w:r>
            <w:r w:rsidR="008755C7">
              <w:rPr>
                <w:sz w:val="22"/>
                <w:szCs w:val="22"/>
              </w:rPr>
              <w:t xml:space="preserve"> 516</w:t>
            </w:r>
            <w:r w:rsidR="00522ADF">
              <w:rPr>
                <w:sz w:val="22"/>
                <w:szCs w:val="22"/>
              </w:rPr>
              <w:t xml:space="preserve"> </w:t>
            </w:r>
            <w:r w:rsidR="00303BDA">
              <w:rPr>
                <w:sz w:val="22"/>
                <w:szCs w:val="22"/>
              </w:rPr>
              <w:t>rural “rate-of-return” c</w:t>
            </w:r>
            <w:r w:rsidR="00CE14AC">
              <w:rPr>
                <w:sz w:val="22"/>
                <w:szCs w:val="22"/>
              </w:rPr>
              <w:t>ompanies</w:t>
            </w:r>
            <w:r w:rsidR="00303BDA">
              <w:rPr>
                <w:sz w:val="22"/>
                <w:szCs w:val="22"/>
              </w:rPr>
              <w:t xml:space="preserve"> </w:t>
            </w:r>
            <w:r w:rsidR="00674DE4">
              <w:rPr>
                <w:sz w:val="22"/>
                <w:szCs w:val="22"/>
              </w:rPr>
              <w:t xml:space="preserve">in 46 states </w:t>
            </w:r>
            <w:r w:rsidR="00303BDA">
              <w:rPr>
                <w:sz w:val="22"/>
                <w:szCs w:val="22"/>
              </w:rPr>
              <w:t>through a predictable cost model, rather than the current legacy system</w:t>
            </w:r>
            <w:r w:rsidR="00674DE4">
              <w:rPr>
                <w:sz w:val="22"/>
                <w:szCs w:val="22"/>
              </w:rPr>
              <w:t xml:space="preserve">, which </w:t>
            </w:r>
            <w:r w:rsidR="00303BDA">
              <w:rPr>
                <w:sz w:val="22"/>
                <w:szCs w:val="22"/>
              </w:rPr>
              <w:t>dates</w:t>
            </w:r>
            <w:r w:rsidR="00846094">
              <w:rPr>
                <w:sz w:val="22"/>
                <w:szCs w:val="22"/>
              </w:rPr>
              <w:t xml:space="preserve"> </w:t>
            </w:r>
            <w:r w:rsidR="00ED7BE4">
              <w:rPr>
                <w:sz w:val="22"/>
                <w:szCs w:val="22"/>
              </w:rPr>
              <w:t xml:space="preserve">to </w:t>
            </w:r>
            <w:r w:rsidR="00303BDA">
              <w:rPr>
                <w:sz w:val="22"/>
                <w:szCs w:val="22"/>
              </w:rPr>
              <w:t>the era of voice-only servic</w:t>
            </w:r>
            <w:r w:rsidR="00224917">
              <w:rPr>
                <w:sz w:val="22"/>
                <w:szCs w:val="22"/>
              </w:rPr>
              <w:t>e.</w:t>
            </w:r>
            <w:r w:rsidR="00AF1F3F">
              <w:rPr>
                <w:sz w:val="22"/>
                <w:szCs w:val="22"/>
              </w:rPr>
              <w:t xml:space="preserve">  The FCC </w:t>
            </w:r>
            <w:hyperlink r:id="rId5" w:history="1">
              <w:r w:rsidRPr="00AF1F3F" w:rsidR="00AF1F3F">
                <w:rPr>
                  <w:rStyle w:val="Hyperlink"/>
                  <w:sz w:val="22"/>
                  <w:szCs w:val="22"/>
                </w:rPr>
                <w:t>voted</w:t>
              </w:r>
            </w:hyperlink>
            <w:r w:rsidR="00AF1F3F">
              <w:rPr>
                <w:sz w:val="22"/>
                <w:szCs w:val="22"/>
              </w:rPr>
              <w:t xml:space="preserve"> to make </w:t>
            </w:r>
            <w:r w:rsidR="0007798D">
              <w:rPr>
                <w:sz w:val="22"/>
                <w:szCs w:val="22"/>
              </w:rPr>
              <w:t xml:space="preserve">this offer </w:t>
            </w:r>
            <w:r w:rsidR="00AF1F3F">
              <w:rPr>
                <w:sz w:val="22"/>
                <w:szCs w:val="22"/>
              </w:rPr>
              <w:t xml:space="preserve">in December. </w:t>
            </w:r>
          </w:p>
          <w:p w:rsidR="00BB7CF9" w:rsidP="00040127" w14:paraId="4FCFE5C2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7798D" w:rsidP="0019702A" w14:paraId="265E420D" w14:textId="71485EEA">
            <w:r>
              <w:rPr>
                <w:sz w:val="22"/>
                <w:szCs w:val="22"/>
              </w:rPr>
              <w:t>In return, the</w:t>
            </w:r>
            <w:r w:rsidR="00674DE4">
              <w:rPr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 xml:space="preserve"> carriers would be required to deploy </w:t>
            </w:r>
            <w:r w:rsidR="00C10D81">
              <w:rPr>
                <w:sz w:val="22"/>
                <w:szCs w:val="22"/>
              </w:rPr>
              <w:t xml:space="preserve">broadband </w:t>
            </w:r>
            <w:r>
              <w:rPr>
                <w:sz w:val="22"/>
                <w:szCs w:val="22"/>
              </w:rPr>
              <w:t>on a defined schedule over the next decade</w:t>
            </w:r>
            <w:r w:rsidR="00312F22">
              <w:rPr>
                <w:sz w:val="22"/>
                <w:szCs w:val="22"/>
              </w:rPr>
              <w:t xml:space="preserve"> at </w:t>
            </w:r>
            <w:r w:rsidR="002759AB">
              <w:rPr>
                <w:sz w:val="22"/>
                <w:szCs w:val="22"/>
              </w:rPr>
              <w:t xml:space="preserve">speeds </w:t>
            </w:r>
            <w:r w:rsidR="00AA56F6">
              <w:rPr>
                <w:sz w:val="22"/>
                <w:szCs w:val="22"/>
              </w:rPr>
              <w:t xml:space="preserve">of </w:t>
            </w:r>
            <w:r w:rsidR="002759AB">
              <w:rPr>
                <w:sz w:val="22"/>
                <w:szCs w:val="22"/>
              </w:rPr>
              <w:t>a</w:t>
            </w:r>
            <w:r w:rsidR="000461EA">
              <w:rPr>
                <w:sz w:val="22"/>
                <w:szCs w:val="22"/>
              </w:rPr>
              <w:t xml:space="preserve">t least </w:t>
            </w:r>
            <w:r w:rsidR="002759AB">
              <w:rPr>
                <w:sz w:val="22"/>
                <w:szCs w:val="22"/>
              </w:rPr>
              <w:t>25 Mbps</w:t>
            </w:r>
            <w:r w:rsidR="000461EA">
              <w:rPr>
                <w:sz w:val="22"/>
                <w:szCs w:val="22"/>
              </w:rPr>
              <w:t xml:space="preserve"> download</w:t>
            </w:r>
            <w:r w:rsidR="002759AB">
              <w:rPr>
                <w:sz w:val="22"/>
                <w:szCs w:val="22"/>
              </w:rPr>
              <w:t>/</w:t>
            </w:r>
            <w:r w:rsidR="000461EA">
              <w:rPr>
                <w:sz w:val="22"/>
                <w:szCs w:val="22"/>
              </w:rPr>
              <w:t>3</w:t>
            </w:r>
            <w:r w:rsidR="002759AB">
              <w:rPr>
                <w:sz w:val="22"/>
                <w:szCs w:val="22"/>
              </w:rPr>
              <w:t xml:space="preserve"> Mbps upload </w:t>
            </w:r>
            <w:r w:rsidR="007661BD">
              <w:rPr>
                <w:sz w:val="22"/>
                <w:szCs w:val="22"/>
              </w:rPr>
              <w:t xml:space="preserve">to </w:t>
            </w:r>
            <w:r w:rsidR="002759AB">
              <w:rPr>
                <w:sz w:val="22"/>
                <w:szCs w:val="22"/>
              </w:rPr>
              <w:t>homes and businesses</w:t>
            </w:r>
            <w:r w:rsidR="000359BF">
              <w:rPr>
                <w:sz w:val="22"/>
                <w:szCs w:val="22"/>
              </w:rPr>
              <w:t xml:space="preserve"> fully funded by the model.</w:t>
            </w:r>
            <w:r w:rsidR="003B08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10D81">
              <w:rPr>
                <w:sz w:val="22"/>
                <w:szCs w:val="22"/>
              </w:rPr>
              <w:t>If all carriers opt in to the offer, they will be required to deploy</w:t>
            </w:r>
            <w:r w:rsidR="00C10D81">
              <w:rPr>
                <w:sz w:val="22"/>
                <w:szCs w:val="22"/>
              </w:rPr>
              <w:t xml:space="preserve"> </w:t>
            </w:r>
            <w:r w:rsidRPr="00C10D81">
              <w:rPr>
                <w:sz w:val="22"/>
                <w:szCs w:val="22"/>
              </w:rPr>
              <w:t xml:space="preserve">25/3 Mbps broadband to at least 1,126,082 homes and businesses. </w:t>
            </w:r>
            <w:r w:rsidRPr="00C10D81" w:rsidR="003B08BB">
              <w:rPr>
                <w:sz w:val="22"/>
                <w:szCs w:val="22"/>
              </w:rPr>
              <w:t xml:space="preserve"> </w:t>
            </w:r>
          </w:p>
          <w:p w:rsidR="0007798D" w:rsidP="0019702A" w14:paraId="175A0C26" w14:textId="77777777"/>
          <w:p w:rsidR="000A1ED4" w:rsidP="000A1ED4" w14:paraId="3AFEEEEB" w14:textId="345A4D93">
            <w:pPr>
              <w:rPr>
                <w:sz w:val="22"/>
                <w:szCs w:val="22"/>
              </w:rPr>
            </w:pPr>
            <w:bookmarkStart w:id="1" w:name="_Hlk7625535"/>
            <w:r>
              <w:rPr>
                <w:sz w:val="22"/>
                <w:szCs w:val="22"/>
              </w:rPr>
              <w:t xml:space="preserve">And the obligation to deploy high-speed broadband will increase even for those carriers that do not accept the offer of model-based support.  Under </w:t>
            </w:r>
            <w:r w:rsidRPr="007661BD">
              <w:rPr>
                <w:sz w:val="22"/>
                <w:szCs w:val="22"/>
              </w:rPr>
              <w:t>prior rules, legacy carriers were only required to deploy 10/1 Mbps broadband to 115,441 locations</w:t>
            </w:r>
            <w:r w:rsidR="007D21B4">
              <w:rPr>
                <w:sz w:val="22"/>
                <w:szCs w:val="22"/>
              </w:rPr>
              <w:t>; they were not required to deploy 25/3 Mbps broadband to any locations</w:t>
            </w:r>
            <w:r w:rsidRPr="007661BD">
              <w:rPr>
                <w:sz w:val="22"/>
                <w:szCs w:val="22"/>
              </w:rPr>
              <w:t>.</w:t>
            </w:r>
            <w:r w:rsidRPr="000A1E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As a result of the Commission’s December vote, the Bureau has increased those obligations so that legacy carriers </w:t>
            </w:r>
            <w:r w:rsidR="0007798D">
              <w:rPr>
                <w:sz w:val="22"/>
                <w:szCs w:val="22"/>
              </w:rPr>
              <w:t xml:space="preserve">will be required to deploy 25/3 </w:t>
            </w:r>
            <w:r w:rsidR="00C10D81">
              <w:rPr>
                <w:sz w:val="22"/>
                <w:szCs w:val="22"/>
              </w:rPr>
              <w:t xml:space="preserve">Mbps </w:t>
            </w:r>
            <w:r w:rsidR="0007798D">
              <w:rPr>
                <w:sz w:val="22"/>
                <w:szCs w:val="22"/>
              </w:rPr>
              <w:t>broadband to at least 600,535 locations.</w:t>
            </w:r>
          </w:p>
          <w:p w:rsidR="000A1ED4" w:rsidRPr="000A1ED4" w:rsidP="000A1ED4" w14:paraId="61207F7E" w14:textId="77777777">
            <w:pPr>
              <w:rPr>
                <w:sz w:val="22"/>
                <w:szCs w:val="22"/>
              </w:rPr>
            </w:pPr>
          </w:p>
          <w:bookmarkEnd w:id="1"/>
          <w:p w:rsidR="00224917" w:rsidP="00040127" w14:paraId="36C7E19C" w14:textId="4D019F63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Bridging the digital divide that separates </w:t>
            </w:r>
            <w:r w:rsidR="00C10D81">
              <w:rPr>
                <w:sz w:val="22"/>
                <w:szCs w:val="22"/>
              </w:rPr>
              <w:t xml:space="preserve">many </w:t>
            </w:r>
            <w:r>
              <w:rPr>
                <w:sz w:val="22"/>
                <w:szCs w:val="22"/>
              </w:rPr>
              <w:t>America</w:t>
            </w:r>
            <w:r w:rsidR="000461E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from </w:t>
            </w:r>
            <w:r w:rsidR="00C10D81">
              <w:rPr>
                <w:sz w:val="22"/>
                <w:szCs w:val="22"/>
              </w:rPr>
              <w:t xml:space="preserve">digital opportunity </w:t>
            </w:r>
            <w:r>
              <w:rPr>
                <w:sz w:val="22"/>
                <w:szCs w:val="22"/>
              </w:rPr>
              <w:t xml:space="preserve">is the FCC’s top priority. Because of the high cost of deploying and operating broadband networks in rural areas, the FCC provides support through its universal service programs so that </w:t>
            </w:r>
            <w:r w:rsidR="00674DE4">
              <w:rPr>
                <w:sz w:val="22"/>
                <w:szCs w:val="22"/>
              </w:rPr>
              <w:t xml:space="preserve">high-speed Internet </w:t>
            </w:r>
            <w:r>
              <w:rPr>
                <w:sz w:val="22"/>
                <w:szCs w:val="22"/>
              </w:rPr>
              <w:t>will be available and affordable in rural communities.</w:t>
            </w:r>
          </w:p>
          <w:p w:rsidR="00224917" w:rsidP="00040127" w14:paraId="2D26F989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AA56F6" w:rsidP="00AA56F6" w14:paraId="5C42B2D7" w14:textId="524C7C52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FCC moderniz</w:t>
            </w:r>
            <w:r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its support for rate-of-return companies </w:t>
            </w:r>
            <w:r w:rsidR="001E7314">
              <w:rPr>
                <w:sz w:val="22"/>
                <w:szCs w:val="22"/>
              </w:rPr>
              <w:t xml:space="preserve">through use of </w:t>
            </w:r>
            <w:r>
              <w:rPr>
                <w:sz w:val="22"/>
                <w:szCs w:val="22"/>
              </w:rPr>
              <w:t xml:space="preserve">the </w:t>
            </w:r>
            <w:r w:rsidR="002759AB">
              <w:rPr>
                <w:sz w:val="22"/>
                <w:szCs w:val="22"/>
              </w:rPr>
              <w:t>Alternative Connect America Cost Model, or A-CAM</w:t>
            </w:r>
            <w:r w:rsidR="000461EA">
              <w:rPr>
                <w:sz w:val="22"/>
                <w:szCs w:val="22"/>
              </w:rPr>
              <w:t>,</w:t>
            </w:r>
            <w:r w:rsidR="002759AB">
              <w:rPr>
                <w:sz w:val="22"/>
                <w:szCs w:val="22"/>
              </w:rPr>
              <w:t xml:space="preserve"> to determine support. The model calculates support </w:t>
            </w:r>
            <w:r w:rsidR="00674DE4">
              <w:rPr>
                <w:sz w:val="22"/>
                <w:szCs w:val="22"/>
              </w:rPr>
              <w:t>required to provide service census block</w:t>
            </w:r>
            <w:r w:rsidR="00D209F1">
              <w:rPr>
                <w:sz w:val="22"/>
                <w:szCs w:val="22"/>
              </w:rPr>
              <w:t>-</w:t>
            </w:r>
            <w:r w:rsidR="00674DE4">
              <w:rPr>
                <w:sz w:val="22"/>
                <w:szCs w:val="22"/>
              </w:rPr>
              <w:t>by</w:t>
            </w:r>
            <w:r w:rsidR="00D209F1">
              <w:rPr>
                <w:sz w:val="22"/>
                <w:szCs w:val="22"/>
              </w:rPr>
              <w:t>-</w:t>
            </w:r>
            <w:r w:rsidR="00674DE4">
              <w:rPr>
                <w:sz w:val="22"/>
                <w:szCs w:val="22"/>
              </w:rPr>
              <w:t xml:space="preserve">census block </w:t>
            </w:r>
            <w:r w:rsidR="002759AB">
              <w:rPr>
                <w:sz w:val="22"/>
                <w:szCs w:val="22"/>
              </w:rPr>
              <w:t>and delivers that support over a 10-year term, with a defined buildout schedule.</w:t>
            </w:r>
            <w:r>
              <w:rPr>
                <w:sz w:val="22"/>
                <w:szCs w:val="22"/>
              </w:rPr>
              <w:t xml:space="preserve"> </w:t>
            </w:r>
            <w:r w:rsidR="00C10D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Building on the success of the first A-CAM offer, the action taken today provides carriers that initially elected to remain on the legacy system an opportunity to switch over to the model. </w:t>
            </w:r>
          </w:p>
          <w:p w:rsidR="00224917" w:rsidP="00040127" w14:paraId="4B3FCAC5" w14:textId="0F7D7D75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E14AC" w:rsidP="00CE14AC" w14:paraId="2753DEA3" w14:textId="5B4A2A15">
            <w:pPr>
              <w:rPr>
                <w:sz w:val="22"/>
                <w:szCs w:val="22"/>
              </w:rPr>
            </w:pPr>
            <w:r w:rsidRPr="0092275A">
              <w:rPr>
                <w:sz w:val="22"/>
                <w:szCs w:val="22"/>
              </w:rPr>
              <w:t xml:space="preserve">Rate-of-return carriers receive approximately $2.4 billion </w:t>
            </w:r>
            <w:r w:rsidR="000461EA">
              <w:rPr>
                <w:sz w:val="22"/>
                <w:szCs w:val="22"/>
              </w:rPr>
              <w:t xml:space="preserve">each year </w:t>
            </w:r>
            <w:r w:rsidRPr="0092275A">
              <w:rPr>
                <w:sz w:val="22"/>
                <w:szCs w:val="22"/>
              </w:rPr>
              <w:t>of the FCC’s $4.794 billion in</w:t>
            </w:r>
            <w:r w:rsidRPr="0092275A" w:rsidR="00147521">
              <w:rPr>
                <w:sz w:val="22"/>
                <w:szCs w:val="22"/>
              </w:rPr>
              <w:t xml:space="preserve"> universal service</w:t>
            </w:r>
            <w:r w:rsidRPr="0092275A">
              <w:rPr>
                <w:sz w:val="22"/>
                <w:szCs w:val="22"/>
              </w:rPr>
              <w:t xml:space="preserve"> support for rural broadband, and of that, the 262 companies that </w:t>
            </w:r>
            <w:r w:rsidRPr="0092275A" w:rsidR="00147521">
              <w:rPr>
                <w:sz w:val="22"/>
                <w:szCs w:val="22"/>
              </w:rPr>
              <w:t xml:space="preserve">have </w:t>
            </w:r>
            <w:r w:rsidRPr="0092275A">
              <w:rPr>
                <w:sz w:val="22"/>
                <w:szCs w:val="22"/>
              </w:rPr>
              <w:t xml:space="preserve">already elected A-CAM support get approximately $607 million per year. </w:t>
            </w:r>
            <w:r w:rsidR="00C10D81">
              <w:rPr>
                <w:sz w:val="22"/>
                <w:szCs w:val="22"/>
              </w:rPr>
              <w:t xml:space="preserve"> </w:t>
            </w:r>
            <w:r w:rsidR="00D209F1">
              <w:rPr>
                <w:sz w:val="22"/>
                <w:szCs w:val="22"/>
              </w:rPr>
              <w:t>Carriers currently receiving legacy support have 45 days to opt in to today’s</w:t>
            </w:r>
            <w:r w:rsidR="00C10D81">
              <w:rPr>
                <w:sz w:val="22"/>
                <w:szCs w:val="22"/>
              </w:rPr>
              <w:t xml:space="preserve"> </w:t>
            </w:r>
            <w:r w:rsidR="00D209F1">
              <w:rPr>
                <w:sz w:val="22"/>
                <w:szCs w:val="22"/>
              </w:rPr>
              <w:t>A-CAM offer.</w:t>
            </w:r>
          </w:p>
          <w:p w:rsidR="00850E26" w:rsidRPr="007475A1" w:rsidP="00040127" w14:paraId="5790CC9C" w14:textId="7777777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BD19E8" w:rsidRPr="007475A1" w:rsidP="00DA7B44" w14:paraId="69065BC1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7475A1" w:rsidP="00850E26" w14:paraId="33FAE836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BAB251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FBA325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52A887B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17775DB" w14:textId="77777777">
      <w:pPr>
        <w:rPr>
          <w:b/>
          <w:bCs/>
          <w:sz w:val="2"/>
          <w:szCs w:val="2"/>
        </w:rPr>
      </w:pPr>
    </w:p>
    <w:sectPr w:rsidSect="0074238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BA"/>
    <w:rsid w:val="0002500C"/>
    <w:rsid w:val="000311FC"/>
    <w:rsid w:val="000359BF"/>
    <w:rsid w:val="00040127"/>
    <w:rsid w:val="000461EA"/>
    <w:rsid w:val="00065E2D"/>
    <w:rsid w:val="0007798D"/>
    <w:rsid w:val="00081232"/>
    <w:rsid w:val="00091E65"/>
    <w:rsid w:val="00096D4A"/>
    <w:rsid w:val="000A1ED4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47521"/>
    <w:rsid w:val="00152776"/>
    <w:rsid w:val="00153222"/>
    <w:rsid w:val="001577D3"/>
    <w:rsid w:val="001733A6"/>
    <w:rsid w:val="001865A9"/>
    <w:rsid w:val="00187DB2"/>
    <w:rsid w:val="0019702A"/>
    <w:rsid w:val="001B20BB"/>
    <w:rsid w:val="001C4370"/>
    <w:rsid w:val="001C7342"/>
    <w:rsid w:val="001D3779"/>
    <w:rsid w:val="001E7314"/>
    <w:rsid w:val="001F0469"/>
    <w:rsid w:val="00203A98"/>
    <w:rsid w:val="00206EDD"/>
    <w:rsid w:val="0021247E"/>
    <w:rsid w:val="002146F6"/>
    <w:rsid w:val="00224917"/>
    <w:rsid w:val="00231C32"/>
    <w:rsid w:val="00240345"/>
    <w:rsid w:val="002421F0"/>
    <w:rsid w:val="00247274"/>
    <w:rsid w:val="00266966"/>
    <w:rsid w:val="002759AB"/>
    <w:rsid w:val="00285C36"/>
    <w:rsid w:val="00294C0C"/>
    <w:rsid w:val="002A0934"/>
    <w:rsid w:val="002B1013"/>
    <w:rsid w:val="002D03E5"/>
    <w:rsid w:val="002E3F1D"/>
    <w:rsid w:val="002F31D0"/>
    <w:rsid w:val="00300359"/>
    <w:rsid w:val="00303BDA"/>
    <w:rsid w:val="00312F22"/>
    <w:rsid w:val="0031773E"/>
    <w:rsid w:val="00333871"/>
    <w:rsid w:val="00347716"/>
    <w:rsid w:val="003506E1"/>
    <w:rsid w:val="003727E3"/>
    <w:rsid w:val="00385A93"/>
    <w:rsid w:val="003910F1"/>
    <w:rsid w:val="003B08BB"/>
    <w:rsid w:val="003E42FC"/>
    <w:rsid w:val="003E5991"/>
    <w:rsid w:val="003F31E7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979A4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2ADF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5F3743"/>
    <w:rsid w:val="005F3C9F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74DE4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2385"/>
    <w:rsid w:val="007475A1"/>
    <w:rsid w:val="0075235E"/>
    <w:rsid w:val="007528A5"/>
    <w:rsid w:val="00756CC3"/>
    <w:rsid w:val="007661BD"/>
    <w:rsid w:val="007732CC"/>
    <w:rsid w:val="00774079"/>
    <w:rsid w:val="0077752B"/>
    <w:rsid w:val="00793D6F"/>
    <w:rsid w:val="00794090"/>
    <w:rsid w:val="007A44F8"/>
    <w:rsid w:val="007D21B4"/>
    <w:rsid w:val="007D21BF"/>
    <w:rsid w:val="007F3C12"/>
    <w:rsid w:val="007F5205"/>
    <w:rsid w:val="0080486B"/>
    <w:rsid w:val="008215E7"/>
    <w:rsid w:val="00830FC6"/>
    <w:rsid w:val="00846094"/>
    <w:rsid w:val="00850E26"/>
    <w:rsid w:val="00865EAA"/>
    <w:rsid w:val="00866F06"/>
    <w:rsid w:val="008728F5"/>
    <w:rsid w:val="008755C7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275A"/>
    <w:rsid w:val="0093373C"/>
    <w:rsid w:val="00941760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2549"/>
    <w:rsid w:val="00A775A3"/>
    <w:rsid w:val="00A81700"/>
    <w:rsid w:val="00A81B5B"/>
    <w:rsid w:val="00A82FAD"/>
    <w:rsid w:val="00A9673A"/>
    <w:rsid w:val="00A96EF2"/>
    <w:rsid w:val="00AA56F6"/>
    <w:rsid w:val="00AA5C35"/>
    <w:rsid w:val="00AA5ED9"/>
    <w:rsid w:val="00AC0A38"/>
    <w:rsid w:val="00AC4E0E"/>
    <w:rsid w:val="00AC517B"/>
    <w:rsid w:val="00AD0D19"/>
    <w:rsid w:val="00AF051B"/>
    <w:rsid w:val="00AF1F3F"/>
    <w:rsid w:val="00B037A2"/>
    <w:rsid w:val="00B31870"/>
    <w:rsid w:val="00B320B8"/>
    <w:rsid w:val="00B347E9"/>
    <w:rsid w:val="00B35EE2"/>
    <w:rsid w:val="00B36DEF"/>
    <w:rsid w:val="00B57131"/>
    <w:rsid w:val="00B62F2C"/>
    <w:rsid w:val="00B64571"/>
    <w:rsid w:val="00B727C9"/>
    <w:rsid w:val="00B735C8"/>
    <w:rsid w:val="00B76A63"/>
    <w:rsid w:val="00BA6350"/>
    <w:rsid w:val="00BB4E29"/>
    <w:rsid w:val="00BB74C9"/>
    <w:rsid w:val="00BB7CF9"/>
    <w:rsid w:val="00BC3AB6"/>
    <w:rsid w:val="00BD19E8"/>
    <w:rsid w:val="00BD4273"/>
    <w:rsid w:val="00BF175A"/>
    <w:rsid w:val="00C10D81"/>
    <w:rsid w:val="00C31ED8"/>
    <w:rsid w:val="00C432E4"/>
    <w:rsid w:val="00C70C26"/>
    <w:rsid w:val="00C72001"/>
    <w:rsid w:val="00C772B7"/>
    <w:rsid w:val="00C80347"/>
    <w:rsid w:val="00CA6B3B"/>
    <w:rsid w:val="00CB7C1A"/>
    <w:rsid w:val="00CC5E08"/>
    <w:rsid w:val="00CE14AC"/>
    <w:rsid w:val="00CE14FD"/>
    <w:rsid w:val="00CF6860"/>
    <w:rsid w:val="00D02AC6"/>
    <w:rsid w:val="00D03F0C"/>
    <w:rsid w:val="00D04312"/>
    <w:rsid w:val="00D16A7F"/>
    <w:rsid w:val="00D16AD2"/>
    <w:rsid w:val="00D209F1"/>
    <w:rsid w:val="00D22596"/>
    <w:rsid w:val="00D22691"/>
    <w:rsid w:val="00D24C3D"/>
    <w:rsid w:val="00D46CB1"/>
    <w:rsid w:val="00D723F0"/>
    <w:rsid w:val="00D77C6A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4C8E"/>
    <w:rsid w:val="00DD1750"/>
    <w:rsid w:val="00E349AA"/>
    <w:rsid w:val="00E41390"/>
    <w:rsid w:val="00E41CA0"/>
    <w:rsid w:val="00E4366B"/>
    <w:rsid w:val="00E50A4A"/>
    <w:rsid w:val="00E606DE"/>
    <w:rsid w:val="00E644FE"/>
    <w:rsid w:val="00E65801"/>
    <w:rsid w:val="00E72733"/>
    <w:rsid w:val="00E742FA"/>
    <w:rsid w:val="00E76816"/>
    <w:rsid w:val="00E83DBF"/>
    <w:rsid w:val="00E86B51"/>
    <w:rsid w:val="00E87C13"/>
    <w:rsid w:val="00E94CD9"/>
    <w:rsid w:val="00EA1A76"/>
    <w:rsid w:val="00EA290B"/>
    <w:rsid w:val="00ED7BE4"/>
    <w:rsid w:val="00EE0E90"/>
    <w:rsid w:val="00EF3BCA"/>
    <w:rsid w:val="00EF729B"/>
    <w:rsid w:val="00F01B0D"/>
    <w:rsid w:val="00F069BA"/>
    <w:rsid w:val="00F1238F"/>
    <w:rsid w:val="00F13B07"/>
    <w:rsid w:val="00F16485"/>
    <w:rsid w:val="00F1798A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3EA1"/>
    <w:rsid w:val="00FD58E0"/>
    <w:rsid w:val="00FD71AE"/>
    <w:rsid w:val="00FE0198"/>
    <w:rsid w:val="00FE28AD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765003-AC36-433E-950B-93FB88EE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461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61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10D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0D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0D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0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0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increases-universal-service-support-faster-rural-broadband-0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