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bookmarkStart w:id="0" w:name="_GoBack"/>
      <w:bookmarkEnd w:id="0"/>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37AE1B37"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542CB6" w:rsidP="00320391" w14:paraId="0673ACB0" w14:textId="711589AD">
      <w:pPr>
        <w:widowControl w:val="0"/>
        <w:tabs>
          <w:tab w:val="left" w:pos="4680"/>
        </w:tabs>
        <w:autoSpaceDE w:val="0"/>
        <w:autoSpaceDN w:val="0"/>
        <w:adjustRightInd w:val="0"/>
        <w:rPr>
          <w:rFonts w:eastAsiaTheme="minorHAnsi"/>
          <w:sz w:val="22"/>
          <w:szCs w:val="22"/>
        </w:rPr>
      </w:pPr>
      <w:r>
        <w:rPr>
          <w:rFonts w:eastAsiaTheme="minorHAnsi"/>
          <w:sz w:val="22"/>
          <w:szCs w:val="22"/>
        </w:rPr>
        <w:t>SSA Marine</w:t>
      </w:r>
      <w:r w:rsidRPr="00542CB6" w:rsidR="00320391">
        <w:rPr>
          <w:rFonts w:eastAsiaTheme="minorHAnsi"/>
          <w:sz w:val="22"/>
          <w:szCs w:val="22"/>
        </w:rPr>
        <w:tab/>
        <w:t>)</w:t>
      </w:r>
      <w:r w:rsidRPr="00542CB6" w:rsidR="00320391">
        <w:rPr>
          <w:rFonts w:eastAsiaTheme="minorHAnsi"/>
          <w:sz w:val="22"/>
          <w:szCs w:val="22"/>
        </w:rPr>
        <w:tab/>
      </w:r>
      <w:r w:rsidR="000C6349">
        <w:rPr>
          <w:rFonts w:eastAsiaTheme="minorHAnsi"/>
          <w:sz w:val="22"/>
          <w:szCs w:val="22"/>
        </w:rPr>
        <w:t xml:space="preserve">          </w:t>
      </w:r>
      <w:r w:rsidRPr="00542CB6" w:rsidR="002D16A2">
        <w:rPr>
          <w:sz w:val="22"/>
          <w:szCs w:val="22"/>
        </w:rPr>
        <w:t>File No.:  EB-FIELDWR</w:t>
      </w:r>
      <w:r>
        <w:rPr>
          <w:sz w:val="22"/>
          <w:szCs w:val="22"/>
        </w:rPr>
        <w:t>-19-00028709</w:t>
      </w:r>
    </w:p>
    <w:p w:rsidR="00D96444" w:rsidP="00320391" w14:paraId="5A8C1CB6" w14:textId="3745B689">
      <w:pPr>
        <w:tabs>
          <w:tab w:val="left" w:pos="4680"/>
          <w:tab w:val="left" w:pos="5580"/>
          <w:tab w:val="left" w:pos="6570"/>
        </w:tabs>
        <w:spacing w:line="226" w:lineRule="auto"/>
        <w:rPr>
          <w:sz w:val="22"/>
          <w:szCs w:val="22"/>
        </w:rPr>
      </w:pPr>
      <w:r w:rsidRPr="00542CB6">
        <w:rPr>
          <w:sz w:val="22"/>
          <w:szCs w:val="22"/>
        </w:rPr>
        <w:t xml:space="preserve">Licensee of </w:t>
      </w:r>
      <w:r>
        <w:rPr>
          <w:sz w:val="22"/>
          <w:szCs w:val="22"/>
        </w:rPr>
        <w:t>Radio Station WQVE621</w:t>
      </w:r>
      <w:r>
        <w:rPr>
          <w:sz w:val="22"/>
          <w:szCs w:val="22"/>
        </w:rPr>
        <w:tab/>
        <w:t>)</w:t>
      </w:r>
      <w:r w:rsidRPr="00757DAC" w:rsidR="00757DAC">
        <w:rPr>
          <w:rFonts w:eastAsiaTheme="minorHAnsi"/>
          <w:sz w:val="22"/>
          <w:szCs w:val="22"/>
        </w:rPr>
        <w:t xml:space="preserve"> </w:t>
      </w:r>
      <w:r w:rsidR="000C6349">
        <w:rPr>
          <w:rFonts w:eastAsiaTheme="minorHAnsi"/>
          <w:sz w:val="22"/>
          <w:szCs w:val="22"/>
        </w:rPr>
        <w:tab/>
      </w:r>
      <w:r w:rsidRPr="007839E1" w:rsidR="000C6349">
        <w:rPr>
          <w:sz w:val="22"/>
          <w:szCs w:val="22"/>
        </w:rPr>
        <w:t>FRN: 0024009144</w:t>
      </w:r>
    </w:p>
    <w:p w:rsidR="00576298" w:rsidP="00320391" w14:paraId="20025535" w14:textId="30E4344D">
      <w:pPr>
        <w:tabs>
          <w:tab w:val="left" w:pos="4680"/>
          <w:tab w:val="left" w:pos="5580"/>
          <w:tab w:val="left" w:pos="6570"/>
        </w:tabs>
        <w:spacing w:line="226" w:lineRule="auto"/>
        <w:rPr>
          <w:sz w:val="22"/>
          <w:szCs w:val="22"/>
        </w:rPr>
      </w:pPr>
      <w:r>
        <w:rPr>
          <w:sz w:val="22"/>
          <w:szCs w:val="22"/>
        </w:rPr>
        <w:tab/>
      </w:r>
      <w:r w:rsidRPr="00F606D8">
        <w:rPr>
          <w:szCs w:val="22"/>
        </w:rPr>
        <w:t>)</w:t>
      </w:r>
    </w:p>
    <w:p w:rsidR="00576298" w:rsidP="00AD7A98" w14:paraId="148B8848" w14:textId="1333E035">
      <w:pPr>
        <w:pStyle w:val="BodyText2"/>
        <w:tabs>
          <w:tab w:val="left" w:pos="4680"/>
          <w:tab w:val="left" w:pos="5400"/>
          <w:tab w:val="left" w:pos="5760"/>
        </w:tabs>
        <w:spacing w:line="226" w:lineRule="auto"/>
        <w:rPr>
          <w:szCs w:val="22"/>
        </w:rPr>
      </w:pPr>
      <w:r>
        <w:rPr>
          <w:szCs w:val="22"/>
        </w:rPr>
        <w:t>Seattle, Washington</w:t>
      </w:r>
      <w:r w:rsidRPr="00F606D8">
        <w:rPr>
          <w:szCs w:val="22"/>
        </w:rPr>
        <w:t xml:space="preserve"> </w:t>
      </w:r>
      <w:r>
        <w:rPr>
          <w:szCs w:val="22"/>
        </w:rPr>
        <w:tab/>
      </w:r>
      <w:r w:rsidRPr="00F606D8">
        <w:rPr>
          <w:szCs w:val="22"/>
        </w:rPr>
        <w:t>)</w:t>
      </w:r>
    </w:p>
    <w:p w:rsidR="002D16A2" w:rsidRPr="00542CB6" w:rsidP="00320391" w14:paraId="736CA834" w14:textId="482D08A0">
      <w:pPr>
        <w:tabs>
          <w:tab w:val="left" w:pos="4680"/>
          <w:tab w:val="left" w:pos="5580"/>
          <w:tab w:val="left" w:pos="6570"/>
        </w:tabs>
        <w:spacing w:line="226" w:lineRule="auto"/>
        <w:rPr>
          <w:sz w:val="22"/>
          <w:szCs w:val="22"/>
        </w:rPr>
      </w:pPr>
      <w:r>
        <w:rPr>
          <w:sz w:val="22"/>
          <w:szCs w:val="22"/>
        </w:rPr>
        <w:tab/>
        <w:t>)</w:t>
      </w:r>
      <w:r w:rsidR="00D94567">
        <w:rPr>
          <w:sz w:val="22"/>
          <w:szCs w:val="22"/>
        </w:rPr>
        <w:tab/>
      </w:r>
      <w:r w:rsidR="00D96444">
        <w:rPr>
          <w:sz w:val="22"/>
          <w:szCs w:val="22"/>
        </w:rPr>
        <w:tab/>
      </w:r>
    </w:p>
    <w:p w:rsidR="000D5C83" w:rsidRPr="00542CB6" w:rsidP="006014FD" w14:paraId="5C2920B0" w14:textId="4061B5CD">
      <w:pPr>
        <w:pStyle w:val="BodyText2"/>
        <w:tabs>
          <w:tab w:val="left" w:pos="4680"/>
          <w:tab w:val="left" w:pos="5580"/>
          <w:tab w:val="left" w:pos="6570"/>
        </w:tabs>
        <w:spacing w:line="226" w:lineRule="auto"/>
        <w:rPr>
          <w:szCs w:val="22"/>
        </w:rPr>
      </w:pPr>
      <w:r w:rsidRPr="00542CB6">
        <w:rPr>
          <w:szCs w:val="22"/>
        </w:rPr>
        <w:tab/>
      </w:r>
    </w:p>
    <w:p w:rsidR="000D5C83" w:rsidRPr="00542CB6" w:rsidP="000D5C83" w14:paraId="0E2ED6C4" w14:textId="55D62ABE">
      <w:pPr>
        <w:tabs>
          <w:tab w:val="center" w:pos="4680"/>
          <w:tab w:val="left" w:pos="5760"/>
        </w:tabs>
        <w:spacing w:line="226" w:lineRule="auto"/>
        <w:jc w:val="both"/>
        <w:rPr>
          <w:sz w:val="22"/>
          <w:szCs w:val="22"/>
        </w:rPr>
      </w:pPr>
      <w:r w:rsidRPr="00542CB6">
        <w:rPr>
          <w:sz w:val="22"/>
          <w:szCs w:val="22"/>
        </w:rPr>
        <w:tab/>
      </w: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4E2008CB">
      <w:pPr>
        <w:pStyle w:val="Subtitle"/>
        <w:jc w:val="left"/>
        <w:rPr>
          <w:szCs w:val="22"/>
        </w:rPr>
      </w:pPr>
      <w:r w:rsidRPr="00542CB6">
        <w:rPr>
          <w:szCs w:val="22"/>
        </w:rPr>
        <w:tab/>
        <w:t>Released:</w:t>
      </w:r>
      <w:r w:rsidR="00F76B53">
        <w:rPr>
          <w:szCs w:val="22"/>
        </w:rPr>
        <w:t xml:space="preserve"> </w:t>
      </w:r>
      <w:r w:rsidR="00AD7A98">
        <w:rPr>
          <w:szCs w:val="22"/>
        </w:rPr>
        <w:t>May 8, 2019</w:t>
      </w:r>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5686ED04">
      <w:pPr>
        <w:pStyle w:val="BodyTextIndent"/>
        <w:numPr>
          <w:ilvl w:val="0"/>
          <w:numId w:val="1"/>
        </w:numPr>
        <w:ind w:left="0" w:firstLine="720"/>
        <w:rPr>
          <w:rFonts w:ascii="Times New Roman" w:hAnsi="Times New Roman"/>
          <w:sz w:val="22"/>
          <w:szCs w:val="22"/>
        </w:rPr>
      </w:pPr>
      <w:bookmarkStart w:id="1" w:name="_Hlk521663280"/>
      <w:r w:rsidRPr="00542CB6">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D96444">
        <w:rPr>
          <w:rFonts w:ascii="Times New Roman" w:hAnsi="Times New Roman"/>
          <w:sz w:val="22"/>
          <w:szCs w:val="22"/>
        </w:rPr>
        <w:t>SSA Marine (SSA)</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00D96444">
        <w:rPr>
          <w:rFonts w:ascii="Times New Roman" w:hAnsi="Times New Roman"/>
          <w:sz w:val="22"/>
          <w:szCs w:val="22"/>
        </w:rPr>
        <w:t xml:space="preserve">radio station WQVE621 </w:t>
      </w:r>
      <w:r w:rsidR="00A522AF">
        <w:rPr>
          <w:rFonts w:ascii="Times New Roman" w:hAnsi="Times New Roman"/>
          <w:sz w:val="22"/>
          <w:szCs w:val="22"/>
        </w:rPr>
        <w:t xml:space="preserve">in </w:t>
      </w:r>
      <w:r w:rsidR="00D96444">
        <w:rPr>
          <w:rFonts w:ascii="Times New Roman" w:hAnsi="Times New Roman"/>
          <w:sz w:val="22"/>
          <w:szCs w:val="22"/>
        </w:rPr>
        <w:t>Seattle, Washington</w:t>
      </w:r>
      <w:r w:rsidRPr="00542CB6">
        <w:rPr>
          <w:rFonts w:ascii="Times New Roman" w:hAnsi="Times New Roman"/>
          <w:sz w:val="22"/>
          <w:szCs w:val="22"/>
        </w:rPr>
        <w:t>.  Pursuant to Section 1.89(a) of the Rules, issuance of this Notice does not preclude the Enforcement Bureau from further action if warranted, including issuing a Notice of Apparent Liability for Forfeiture for the violations noted herein</w:t>
      </w:r>
      <w:bookmarkEnd w:id="1"/>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040DC501">
      <w:pPr>
        <w:pStyle w:val="BodyTextIndent"/>
        <w:numPr>
          <w:ilvl w:val="0"/>
          <w:numId w:val="1"/>
        </w:numPr>
        <w:ind w:left="0" w:firstLine="720"/>
        <w:rPr>
          <w:rFonts w:ascii="Times New Roman" w:hAnsi="Times New Roman"/>
          <w:sz w:val="22"/>
          <w:szCs w:val="22"/>
        </w:rPr>
      </w:pPr>
      <w:r>
        <w:rPr>
          <w:rFonts w:ascii="Times New Roman" w:hAnsi="Times New Roman"/>
          <w:sz w:val="22"/>
          <w:szCs w:val="22"/>
        </w:rPr>
        <w:t xml:space="preserve">On March 20, 2019, an </w:t>
      </w:r>
      <w:r w:rsidR="00DC7C86">
        <w:rPr>
          <w:rFonts w:ascii="Times New Roman" w:hAnsi="Times New Roman"/>
          <w:sz w:val="22"/>
          <w:szCs w:val="22"/>
        </w:rPr>
        <w:t>A</w:t>
      </w:r>
      <w:r>
        <w:rPr>
          <w:rFonts w:ascii="Times New Roman" w:hAnsi="Times New Roman"/>
          <w:sz w:val="22"/>
          <w:szCs w:val="22"/>
        </w:rPr>
        <w:t xml:space="preserve">gent </w:t>
      </w:r>
      <w:r w:rsidR="003E7DC0">
        <w:rPr>
          <w:rFonts w:ascii="Times New Roman" w:hAnsi="Times New Roman"/>
          <w:sz w:val="22"/>
          <w:szCs w:val="22"/>
        </w:rPr>
        <w:t>of</w:t>
      </w:r>
      <w:r>
        <w:rPr>
          <w:rFonts w:ascii="Times New Roman" w:hAnsi="Times New Roman"/>
          <w:sz w:val="22"/>
          <w:szCs w:val="22"/>
        </w:rPr>
        <w:t xml:space="preserve"> the </w:t>
      </w:r>
      <w:r w:rsidR="003E7DC0">
        <w:rPr>
          <w:rFonts w:ascii="Times New Roman" w:hAnsi="Times New Roman"/>
          <w:sz w:val="22"/>
          <w:szCs w:val="22"/>
        </w:rPr>
        <w:t>Enforcement Bureau</w:t>
      </w:r>
      <w:r>
        <w:rPr>
          <w:rFonts w:ascii="Times New Roman" w:hAnsi="Times New Roman"/>
          <w:sz w:val="22"/>
          <w:szCs w:val="22"/>
        </w:rPr>
        <w:t>’s Portland Office</w:t>
      </w:r>
      <w:r w:rsidR="000262F5">
        <w:rPr>
          <w:rFonts w:ascii="Times New Roman" w:hAnsi="Times New Roman"/>
          <w:sz w:val="22"/>
          <w:szCs w:val="22"/>
        </w:rPr>
        <w:t xml:space="preserve"> </w:t>
      </w:r>
      <w:r>
        <w:rPr>
          <w:rFonts w:ascii="Times New Roman" w:hAnsi="Times New Roman"/>
          <w:sz w:val="22"/>
          <w:szCs w:val="22"/>
        </w:rPr>
        <w:t>investigated</w:t>
      </w:r>
      <w:r w:rsidR="00D96444">
        <w:rPr>
          <w:rFonts w:ascii="Times New Roman" w:hAnsi="Times New Roman"/>
          <w:sz w:val="22"/>
          <w:szCs w:val="22"/>
        </w:rPr>
        <w:t xml:space="preserve"> a co-channel interference complaint on frequency 463.950 </w:t>
      </w:r>
      <w:r w:rsidR="00D96444">
        <w:rPr>
          <w:rFonts w:ascii="Times New Roman" w:hAnsi="Times New Roman"/>
          <w:sz w:val="22"/>
          <w:szCs w:val="22"/>
        </w:rPr>
        <w:t>MHz</w:t>
      </w:r>
      <w:r>
        <w:rPr>
          <w:rFonts w:ascii="Times New Roman" w:hAnsi="Times New Roman"/>
          <w:sz w:val="22"/>
          <w:szCs w:val="22"/>
        </w:rPr>
        <w:t>.</w:t>
      </w:r>
      <w:r>
        <w:rPr>
          <w:rFonts w:ascii="Times New Roman" w:hAnsi="Times New Roman"/>
          <w:sz w:val="22"/>
          <w:szCs w:val="22"/>
        </w:rPr>
        <w:t xml:space="preserve"> The </w:t>
      </w:r>
      <w:r w:rsidR="00DC7C86">
        <w:rPr>
          <w:rFonts w:ascii="Times New Roman" w:hAnsi="Times New Roman"/>
          <w:sz w:val="22"/>
          <w:szCs w:val="22"/>
        </w:rPr>
        <w:t>A</w:t>
      </w:r>
      <w:r>
        <w:rPr>
          <w:rFonts w:ascii="Times New Roman" w:hAnsi="Times New Roman"/>
          <w:sz w:val="22"/>
          <w:szCs w:val="22"/>
        </w:rPr>
        <w:t xml:space="preserve">gent </w:t>
      </w:r>
      <w:r w:rsidRPr="00542CB6" w:rsidR="00542CB6">
        <w:rPr>
          <w:rFonts w:ascii="Times New Roman" w:hAnsi="Times New Roman"/>
          <w:sz w:val="22"/>
          <w:szCs w:val="22"/>
        </w:rPr>
        <w:t>observed</w:t>
      </w:r>
      <w:r w:rsidR="00DC2052">
        <w:rPr>
          <w:rFonts w:ascii="Times New Roman" w:hAnsi="Times New Roman"/>
          <w:sz w:val="22"/>
          <w:szCs w:val="22"/>
        </w:rPr>
        <w:t xml:space="preserve"> the following violations:</w:t>
      </w:r>
    </w:p>
    <w:p w:rsidR="00320391" w:rsidRPr="00542CB6" w:rsidP="00320391" w14:paraId="095FB6BB" w14:textId="77777777">
      <w:pPr>
        <w:pStyle w:val="ListParagraph"/>
        <w:rPr>
          <w:sz w:val="22"/>
          <w:szCs w:val="22"/>
        </w:rPr>
      </w:pPr>
    </w:p>
    <w:p w:rsidR="00182C8B" w:rsidP="00CF4A31" w14:paraId="1A9023BD" w14:textId="6B01F308">
      <w:pPr>
        <w:pStyle w:val="BodyTextIndent"/>
        <w:numPr>
          <w:ilvl w:val="1"/>
          <w:numId w:val="1"/>
        </w:numPr>
        <w:tabs>
          <w:tab w:val="clear" w:pos="3240"/>
        </w:tabs>
        <w:ind w:left="1440" w:right="720" w:firstLine="0"/>
        <w:rPr>
          <w:rFonts w:ascii="Times New Roman" w:hAnsi="Times New Roman"/>
          <w:sz w:val="22"/>
          <w:szCs w:val="22"/>
        </w:rPr>
      </w:pPr>
      <w:r w:rsidRPr="00A1128E">
        <w:rPr>
          <w:rFonts w:ascii="Times New Roman" w:hAnsi="Times New Roman"/>
          <w:sz w:val="22"/>
          <w:szCs w:val="22"/>
        </w:rPr>
        <w:t>47 C</w:t>
      </w:r>
      <w:r w:rsidR="00757DAC">
        <w:rPr>
          <w:rFonts w:ascii="Times New Roman" w:hAnsi="Times New Roman"/>
          <w:sz w:val="22"/>
          <w:szCs w:val="22"/>
        </w:rPr>
        <w:t>.</w:t>
      </w:r>
      <w:r w:rsidRPr="00A1128E">
        <w:rPr>
          <w:rFonts w:ascii="Times New Roman" w:hAnsi="Times New Roman"/>
          <w:sz w:val="22"/>
          <w:szCs w:val="22"/>
        </w:rPr>
        <w:t>F</w:t>
      </w:r>
      <w:r w:rsidR="00757DAC">
        <w:rPr>
          <w:rFonts w:ascii="Times New Roman" w:hAnsi="Times New Roman"/>
          <w:sz w:val="22"/>
          <w:szCs w:val="22"/>
        </w:rPr>
        <w:t>.</w:t>
      </w:r>
      <w:r w:rsidRPr="00A1128E">
        <w:rPr>
          <w:rFonts w:ascii="Times New Roman" w:hAnsi="Times New Roman"/>
          <w:sz w:val="22"/>
          <w:szCs w:val="22"/>
        </w:rPr>
        <w:t>R</w:t>
      </w:r>
      <w:r w:rsidR="00757DAC">
        <w:rPr>
          <w:rFonts w:ascii="Times New Roman" w:hAnsi="Times New Roman"/>
          <w:sz w:val="22"/>
          <w:szCs w:val="22"/>
        </w:rPr>
        <w:t>.</w:t>
      </w:r>
      <w:r w:rsidRPr="00A1128E">
        <w:rPr>
          <w:rFonts w:ascii="Times New Roman" w:hAnsi="Times New Roman"/>
          <w:sz w:val="22"/>
          <w:szCs w:val="22"/>
        </w:rPr>
        <w:t xml:space="preserve"> § </w:t>
      </w:r>
      <w:r w:rsidR="00D94567">
        <w:rPr>
          <w:rFonts w:ascii="Times New Roman" w:hAnsi="Times New Roman"/>
          <w:sz w:val="22"/>
          <w:szCs w:val="22"/>
        </w:rPr>
        <w:t>90.403(c)</w:t>
      </w:r>
      <w:r w:rsidRPr="00A1128E">
        <w:rPr>
          <w:rFonts w:ascii="Times New Roman" w:hAnsi="Times New Roman"/>
          <w:sz w:val="22"/>
          <w:szCs w:val="22"/>
        </w:rPr>
        <w:t>: “</w:t>
      </w:r>
      <w:r w:rsidR="001E05A1">
        <w:rPr>
          <w:rFonts w:ascii="Times New Roman" w:hAnsi="Times New Roman"/>
          <w:sz w:val="22"/>
          <w:szCs w:val="22"/>
        </w:rPr>
        <w:t>Except for stations that have been granted exclusive channels under this part …, each licensee must restrict all transmissions to the minimum practical transmission time</w:t>
      </w:r>
      <w:r w:rsidR="00D85B9D">
        <w:rPr>
          <w:rFonts w:ascii="Times New Roman" w:hAnsi="Times New Roman"/>
          <w:sz w:val="22"/>
          <w:szCs w:val="22"/>
        </w:rPr>
        <w:t>…</w:t>
      </w:r>
      <w:r w:rsidR="001E05A1">
        <w:rPr>
          <w:rFonts w:ascii="Times New Roman" w:hAnsi="Times New Roman"/>
          <w:sz w:val="22"/>
          <w:szCs w:val="22"/>
        </w:rPr>
        <w:t xml:space="preserve">” SSA’s station license </w:t>
      </w:r>
      <w:r w:rsidR="00282DA5">
        <w:rPr>
          <w:rFonts w:ascii="Times New Roman" w:hAnsi="Times New Roman"/>
          <w:sz w:val="22"/>
          <w:szCs w:val="22"/>
        </w:rPr>
        <w:t>i</w:t>
      </w:r>
      <w:r w:rsidR="001E05A1">
        <w:rPr>
          <w:rFonts w:ascii="Times New Roman" w:hAnsi="Times New Roman"/>
          <w:sz w:val="22"/>
          <w:szCs w:val="22"/>
        </w:rPr>
        <w:t xml:space="preserve">s authorized under FB2 license class and </w:t>
      </w:r>
      <w:r w:rsidR="00AA04E0">
        <w:rPr>
          <w:rFonts w:ascii="Times New Roman" w:hAnsi="Times New Roman"/>
          <w:sz w:val="22"/>
          <w:szCs w:val="22"/>
        </w:rPr>
        <w:t>is not authorized</w:t>
      </w:r>
      <w:r w:rsidR="001E05A1">
        <w:rPr>
          <w:rFonts w:ascii="Times New Roman" w:hAnsi="Times New Roman"/>
          <w:sz w:val="22"/>
          <w:szCs w:val="22"/>
        </w:rPr>
        <w:t xml:space="preserve"> to use frequency 463.950 MHz on an exclusive basis. The FCC </w:t>
      </w:r>
      <w:r w:rsidR="00282DA5">
        <w:rPr>
          <w:rFonts w:ascii="Times New Roman" w:hAnsi="Times New Roman"/>
          <w:sz w:val="22"/>
          <w:szCs w:val="22"/>
        </w:rPr>
        <w:t>A</w:t>
      </w:r>
      <w:r w:rsidR="001E05A1">
        <w:rPr>
          <w:rFonts w:ascii="Times New Roman" w:hAnsi="Times New Roman"/>
          <w:sz w:val="22"/>
          <w:szCs w:val="22"/>
        </w:rPr>
        <w:t xml:space="preserve">gent determined that SSA transmitted </w:t>
      </w:r>
      <w:r w:rsidR="00282DA5">
        <w:rPr>
          <w:rFonts w:ascii="Times New Roman" w:hAnsi="Times New Roman"/>
          <w:sz w:val="22"/>
          <w:szCs w:val="22"/>
        </w:rPr>
        <w:t xml:space="preserve">on </w:t>
      </w:r>
      <w:r w:rsidR="001E05A1">
        <w:rPr>
          <w:rFonts w:ascii="Times New Roman" w:hAnsi="Times New Roman"/>
          <w:sz w:val="22"/>
          <w:szCs w:val="22"/>
        </w:rPr>
        <w:t>frequency 463.950 MHz on a continuous basis fo</w:t>
      </w:r>
      <w:r w:rsidR="00F230A8">
        <w:rPr>
          <w:rFonts w:ascii="Times New Roman" w:hAnsi="Times New Roman"/>
          <w:sz w:val="22"/>
          <w:szCs w:val="22"/>
        </w:rPr>
        <w:t>r periods in excess of an hour.</w:t>
      </w:r>
      <w:r>
        <w:rPr>
          <w:rStyle w:val="FootnoteReference"/>
          <w:szCs w:val="22"/>
        </w:rPr>
        <w:footnoteReference w:id="4"/>
      </w:r>
    </w:p>
    <w:p w:rsidR="00F230A8" w:rsidP="00F230A8" w14:paraId="20A0C3C0" w14:textId="77777777">
      <w:pPr>
        <w:pStyle w:val="BodyTextIndent"/>
        <w:ind w:left="1440" w:right="720" w:firstLine="0"/>
        <w:rPr>
          <w:rFonts w:ascii="Times New Roman" w:hAnsi="Times New Roman"/>
          <w:sz w:val="22"/>
          <w:szCs w:val="22"/>
        </w:rPr>
      </w:pPr>
    </w:p>
    <w:p w:rsidR="00F230A8" w:rsidP="00CF4A31" w14:paraId="478DA932" w14:textId="71F4ED18">
      <w:pPr>
        <w:pStyle w:val="BodyTextIndent"/>
        <w:numPr>
          <w:ilvl w:val="1"/>
          <w:numId w:val="1"/>
        </w:numPr>
        <w:tabs>
          <w:tab w:val="clear" w:pos="3240"/>
        </w:tabs>
        <w:ind w:left="1440" w:right="720" w:firstLine="0"/>
        <w:rPr>
          <w:rFonts w:ascii="Times New Roman" w:hAnsi="Times New Roman"/>
          <w:sz w:val="22"/>
          <w:szCs w:val="22"/>
        </w:rPr>
      </w:pPr>
      <w:r>
        <w:rPr>
          <w:rFonts w:ascii="Times New Roman" w:hAnsi="Times New Roman"/>
          <w:sz w:val="22"/>
          <w:szCs w:val="22"/>
        </w:rPr>
        <w:t>47 C</w:t>
      </w:r>
      <w:r w:rsidR="00757DAC">
        <w:rPr>
          <w:rFonts w:ascii="Times New Roman" w:hAnsi="Times New Roman"/>
          <w:sz w:val="22"/>
          <w:szCs w:val="22"/>
        </w:rPr>
        <w:t>.</w:t>
      </w:r>
      <w:r>
        <w:rPr>
          <w:rFonts w:ascii="Times New Roman" w:hAnsi="Times New Roman"/>
          <w:sz w:val="22"/>
          <w:szCs w:val="22"/>
        </w:rPr>
        <w:t>F</w:t>
      </w:r>
      <w:r w:rsidR="00757DAC">
        <w:rPr>
          <w:rFonts w:ascii="Times New Roman" w:hAnsi="Times New Roman"/>
          <w:sz w:val="22"/>
          <w:szCs w:val="22"/>
        </w:rPr>
        <w:t>.</w:t>
      </w:r>
      <w:r>
        <w:rPr>
          <w:rFonts w:ascii="Times New Roman" w:hAnsi="Times New Roman"/>
          <w:sz w:val="22"/>
          <w:szCs w:val="22"/>
        </w:rPr>
        <w:t>R</w:t>
      </w:r>
      <w:r w:rsidR="00757DAC">
        <w:rPr>
          <w:rFonts w:ascii="Times New Roman" w:hAnsi="Times New Roman"/>
          <w:sz w:val="22"/>
          <w:szCs w:val="22"/>
        </w:rPr>
        <w:t>.</w:t>
      </w:r>
      <w:r>
        <w:rPr>
          <w:rFonts w:ascii="Times New Roman" w:hAnsi="Times New Roman"/>
          <w:sz w:val="22"/>
          <w:szCs w:val="22"/>
        </w:rPr>
        <w:t xml:space="preserve"> § 90.403(e): “Licensees shall take reasonable precautions to avoid causing harmful interference. This includes monitoring the transmitting frequency for communications in progress and such other measures as may be necessary to minimize the potential for causing interference.” </w:t>
      </w:r>
      <w:r w:rsidR="007C3D20">
        <w:rPr>
          <w:rFonts w:ascii="Times New Roman" w:hAnsi="Times New Roman"/>
          <w:sz w:val="22"/>
          <w:szCs w:val="22"/>
        </w:rPr>
        <w:t>The FCC A</w:t>
      </w:r>
      <w:r>
        <w:rPr>
          <w:rFonts w:ascii="Times New Roman" w:hAnsi="Times New Roman"/>
          <w:sz w:val="22"/>
          <w:szCs w:val="22"/>
        </w:rPr>
        <w:t xml:space="preserve">gent determined that SSA </w:t>
      </w:r>
      <w:r w:rsidR="00690226">
        <w:rPr>
          <w:rFonts w:ascii="Times New Roman" w:hAnsi="Times New Roman"/>
          <w:sz w:val="22"/>
          <w:szCs w:val="22"/>
        </w:rPr>
        <w:t xml:space="preserve">caused harmful interference to co-channel users because </w:t>
      </w:r>
      <w:r w:rsidR="00AF57E8">
        <w:rPr>
          <w:rFonts w:ascii="Times New Roman" w:hAnsi="Times New Roman"/>
          <w:sz w:val="22"/>
          <w:szCs w:val="22"/>
        </w:rPr>
        <w:t xml:space="preserve">it </w:t>
      </w:r>
      <w:r>
        <w:rPr>
          <w:rFonts w:ascii="Times New Roman" w:hAnsi="Times New Roman"/>
          <w:sz w:val="22"/>
          <w:szCs w:val="22"/>
        </w:rPr>
        <w:t xml:space="preserve">operated </w:t>
      </w:r>
      <w:r>
        <w:rPr>
          <w:rFonts w:ascii="Times New Roman" w:hAnsi="Times New Roman"/>
          <w:sz w:val="22"/>
          <w:szCs w:val="22"/>
        </w:rPr>
        <w:t>its</w:t>
      </w:r>
      <w:r>
        <w:rPr>
          <w:rFonts w:ascii="Times New Roman" w:hAnsi="Times New Roman"/>
          <w:sz w:val="22"/>
          <w:szCs w:val="22"/>
        </w:rPr>
        <w:t xml:space="preserve"> station on a continuous basis</w:t>
      </w:r>
      <w:r w:rsidR="00081E42">
        <w:rPr>
          <w:rFonts w:ascii="Times New Roman" w:hAnsi="Times New Roman"/>
          <w:sz w:val="22"/>
          <w:szCs w:val="22"/>
        </w:rPr>
        <w:t xml:space="preserve">, blocking </w:t>
      </w:r>
      <w:r w:rsidR="00954889">
        <w:rPr>
          <w:rFonts w:ascii="Times New Roman" w:hAnsi="Times New Roman"/>
          <w:sz w:val="22"/>
          <w:szCs w:val="22"/>
        </w:rPr>
        <w:t xml:space="preserve">all </w:t>
      </w:r>
      <w:r w:rsidR="00081E42">
        <w:rPr>
          <w:rFonts w:ascii="Times New Roman" w:hAnsi="Times New Roman"/>
          <w:sz w:val="22"/>
          <w:szCs w:val="22"/>
        </w:rPr>
        <w:t>communications.</w:t>
      </w:r>
      <w:r>
        <w:rPr>
          <w:rStyle w:val="FootnoteReference"/>
          <w:szCs w:val="22"/>
        </w:rPr>
        <w:footnoteReference w:id="5"/>
      </w:r>
    </w:p>
    <w:p w:rsidR="00E81F05" w:rsidP="00E81F05" w14:paraId="7A1E948D" w14:textId="77777777">
      <w:pPr>
        <w:pStyle w:val="ListParagraph"/>
        <w:rPr>
          <w:sz w:val="22"/>
          <w:szCs w:val="22"/>
        </w:rPr>
      </w:pPr>
    </w:p>
    <w:p w:rsidR="00E81F05" w:rsidRPr="00A1128E" w:rsidP="00CF4A31" w14:paraId="38D262A1" w14:textId="6CF75DD5">
      <w:pPr>
        <w:pStyle w:val="BodyTextIndent"/>
        <w:numPr>
          <w:ilvl w:val="1"/>
          <w:numId w:val="1"/>
        </w:numPr>
        <w:tabs>
          <w:tab w:val="clear" w:pos="3240"/>
        </w:tabs>
        <w:ind w:left="1440" w:right="720" w:firstLine="0"/>
        <w:rPr>
          <w:rFonts w:ascii="Times New Roman" w:hAnsi="Times New Roman"/>
          <w:sz w:val="22"/>
          <w:szCs w:val="22"/>
        </w:rPr>
      </w:pPr>
      <w:r>
        <w:rPr>
          <w:rFonts w:ascii="Times New Roman" w:hAnsi="Times New Roman"/>
          <w:sz w:val="22"/>
          <w:szCs w:val="22"/>
        </w:rPr>
        <w:t>47 C</w:t>
      </w:r>
      <w:r w:rsidR="00757DAC">
        <w:rPr>
          <w:rFonts w:ascii="Times New Roman" w:hAnsi="Times New Roman"/>
          <w:sz w:val="22"/>
          <w:szCs w:val="22"/>
        </w:rPr>
        <w:t>.</w:t>
      </w:r>
      <w:r>
        <w:rPr>
          <w:rFonts w:ascii="Times New Roman" w:hAnsi="Times New Roman"/>
          <w:sz w:val="22"/>
          <w:szCs w:val="22"/>
        </w:rPr>
        <w:t>F</w:t>
      </w:r>
      <w:r w:rsidR="00757DAC">
        <w:rPr>
          <w:rFonts w:ascii="Times New Roman" w:hAnsi="Times New Roman"/>
          <w:sz w:val="22"/>
          <w:szCs w:val="22"/>
        </w:rPr>
        <w:t>.</w:t>
      </w:r>
      <w:r>
        <w:rPr>
          <w:rFonts w:ascii="Times New Roman" w:hAnsi="Times New Roman"/>
          <w:sz w:val="22"/>
          <w:szCs w:val="22"/>
        </w:rPr>
        <w:t>R</w:t>
      </w:r>
      <w:r w:rsidR="00757DAC">
        <w:rPr>
          <w:rFonts w:ascii="Times New Roman" w:hAnsi="Times New Roman"/>
          <w:sz w:val="22"/>
          <w:szCs w:val="22"/>
        </w:rPr>
        <w:t>.</w:t>
      </w:r>
      <w:r>
        <w:rPr>
          <w:rFonts w:ascii="Times New Roman" w:hAnsi="Times New Roman"/>
          <w:sz w:val="22"/>
          <w:szCs w:val="22"/>
        </w:rPr>
        <w:t xml:space="preserve"> 90.187(b): “Except as provided in paragraphs (c) and (d) of this section, trunked systems operating under this section must employ equipment that prevents transmission on a trunked frequency if a signal from another system is present on that frequency. The level of monitoring must be sufficient to avoid harmful interference to other systems”. SSA</w:t>
      </w:r>
      <w:r w:rsidR="000A5F85">
        <w:rPr>
          <w:rFonts w:ascii="Times New Roman" w:hAnsi="Times New Roman"/>
          <w:sz w:val="22"/>
          <w:szCs w:val="22"/>
        </w:rPr>
        <w:t xml:space="preserve">’s monitoring equipment </w:t>
      </w:r>
      <w:r w:rsidR="000C3612">
        <w:rPr>
          <w:rFonts w:ascii="Times New Roman" w:hAnsi="Times New Roman"/>
          <w:sz w:val="22"/>
          <w:szCs w:val="22"/>
        </w:rPr>
        <w:t>was in</w:t>
      </w:r>
      <w:r w:rsidR="000A5F85">
        <w:rPr>
          <w:rFonts w:ascii="Times New Roman" w:hAnsi="Times New Roman"/>
          <w:sz w:val="22"/>
          <w:szCs w:val="22"/>
        </w:rPr>
        <w:t>sufficient</w:t>
      </w:r>
      <w:r w:rsidR="000C3612">
        <w:rPr>
          <w:rFonts w:ascii="Times New Roman" w:hAnsi="Times New Roman"/>
          <w:sz w:val="22"/>
          <w:szCs w:val="22"/>
        </w:rPr>
        <w:t>,</w:t>
      </w:r>
      <w:r w:rsidR="000A5F85">
        <w:rPr>
          <w:rFonts w:ascii="Times New Roman" w:hAnsi="Times New Roman"/>
          <w:sz w:val="22"/>
          <w:szCs w:val="22"/>
        </w:rPr>
        <w:t xml:space="preserve"> </w:t>
      </w:r>
      <w:r w:rsidR="006C5959">
        <w:rPr>
          <w:rFonts w:ascii="Times New Roman" w:hAnsi="Times New Roman"/>
          <w:sz w:val="22"/>
          <w:szCs w:val="22"/>
        </w:rPr>
        <w:t>causing</w:t>
      </w:r>
      <w:r w:rsidR="000A5F85">
        <w:rPr>
          <w:rFonts w:ascii="Times New Roman" w:hAnsi="Times New Roman"/>
          <w:sz w:val="22"/>
          <w:szCs w:val="22"/>
        </w:rPr>
        <w:t xml:space="preserve"> </w:t>
      </w:r>
      <w:r w:rsidR="00820E64">
        <w:rPr>
          <w:rFonts w:ascii="Times New Roman" w:hAnsi="Times New Roman"/>
          <w:sz w:val="22"/>
          <w:szCs w:val="22"/>
        </w:rPr>
        <w:t xml:space="preserve">harmful </w:t>
      </w:r>
      <w:r w:rsidR="000A5F85">
        <w:rPr>
          <w:rFonts w:ascii="Times New Roman" w:hAnsi="Times New Roman"/>
          <w:sz w:val="22"/>
          <w:szCs w:val="22"/>
        </w:rPr>
        <w:t>co-channel interference</w:t>
      </w:r>
      <w:r w:rsidR="000C3612">
        <w:rPr>
          <w:rFonts w:ascii="Times New Roman" w:hAnsi="Times New Roman"/>
          <w:sz w:val="22"/>
          <w:szCs w:val="22"/>
        </w:rPr>
        <w:t xml:space="preserve"> to other users</w:t>
      </w:r>
      <w:r w:rsidR="000A5F85">
        <w:rPr>
          <w:rFonts w:ascii="Times New Roman" w:hAnsi="Times New Roman"/>
          <w:sz w:val="22"/>
          <w:szCs w:val="22"/>
        </w:rPr>
        <w:t xml:space="preserve"> on frequency 463.950 </w:t>
      </w:r>
      <w:r w:rsidR="000A5F85">
        <w:rPr>
          <w:rFonts w:ascii="Times New Roman" w:hAnsi="Times New Roman"/>
          <w:sz w:val="22"/>
          <w:szCs w:val="22"/>
        </w:rPr>
        <w:t>MHz.</w:t>
      </w:r>
      <w:r>
        <w:rPr>
          <w:rStyle w:val="FootnoteReference"/>
          <w:szCs w:val="22"/>
        </w:rPr>
        <w:footnoteReference w:id="6"/>
      </w:r>
    </w:p>
    <w:p w:rsidR="00182C8B" w:rsidRPr="00542CB6" w:rsidP="00806A66" w14:paraId="62B0C339" w14:textId="77777777">
      <w:pPr>
        <w:pStyle w:val="BodyTextIndent"/>
        <w:ind w:right="720" w:firstLine="0"/>
        <w:rPr>
          <w:rFonts w:ascii="Times New Roman" w:hAnsi="Times New Roman"/>
          <w:sz w:val="22"/>
          <w:szCs w:val="22"/>
        </w:rPr>
      </w:pPr>
    </w:p>
    <w:p w:rsidR="000D5C83" w:rsidRPr="00542CB6" w:rsidP="000D5C83" w14:paraId="188DC8B3" w14:textId="014E9943">
      <w:pPr>
        <w:numPr>
          <w:ilvl w:val="0"/>
          <w:numId w:val="1"/>
        </w:numPr>
        <w:ind w:left="0" w:firstLine="720"/>
        <w:rPr>
          <w:sz w:val="22"/>
          <w:szCs w:val="22"/>
        </w:rPr>
      </w:pPr>
      <w:r w:rsidRPr="00542CB6">
        <w:rPr>
          <w:sz w:val="22"/>
          <w:szCs w:val="22"/>
        </w:rPr>
        <w:t>Pursuant to Section 308(b) of the Communications Act of 1934, as amended,</w:t>
      </w:r>
      <w:r>
        <w:rPr>
          <w:rStyle w:val="FootnoteReference"/>
          <w:sz w:val="22"/>
          <w:szCs w:val="22"/>
        </w:rPr>
        <w:footnoteReference w:id="7"/>
      </w:r>
      <w:r w:rsidRPr="00542CB6">
        <w:rPr>
          <w:sz w:val="22"/>
          <w:szCs w:val="22"/>
        </w:rPr>
        <w:t xml:space="preserve"> and Section 1.89 of the Rules, we seek additional information concerning the violation and any remedial actions taken.  Therefore, </w:t>
      </w:r>
      <w:r w:rsidR="000A5F85">
        <w:rPr>
          <w:sz w:val="22"/>
          <w:szCs w:val="22"/>
        </w:rPr>
        <w:t>SSA</w:t>
      </w:r>
      <w:r w:rsidR="00B9243B">
        <w:rPr>
          <w:sz w:val="22"/>
          <w:szCs w:val="22"/>
        </w:rPr>
        <w:t xml:space="preserve"> </w:t>
      </w:r>
      <w:r w:rsidRPr="00542CB6">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8"/>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P="000016BD" w14:paraId="6F1D3E6C" w14:textId="2906C407">
      <w:pPr>
        <w:pStyle w:val="BodyTextIndent3"/>
        <w:numPr>
          <w:ilvl w:val="0"/>
          <w:numId w:val="1"/>
        </w:numPr>
        <w:tabs>
          <w:tab w:val="num" w:pos="0"/>
        </w:tabs>
        <w:ind w:left="0" w:firstLine="720"/>
        <w:jc w:val="left"/>
        <w:rPr>
          <w:szCs w:val="22"/>
        </w:rPr>
      </w:pPr>
      <w:r w:rsidRPr="00542CB6">
        <w:rPr>
          <w:szCs w:val="22"/>
        </w:rPr>
        <w:t xml:space="preserve">In accordance with Section 1.16 of the Rules, we direct </w:t>
      </w:r>
      <w:r w:rsidR="000A5F85">
        <w:rPr>
          <w:szCs w:val="22"/>
        </w:rPr>
        <w:t>SSA</w:t>
      </w:r>
      <w:r w:rsidR="007C645A">
        <w:rPr>
          <w:szCs w:val="22"/>
        </w:rPr>
        <w:t xml:space="preserve"> </w:t>
      </w:r>
      <w:r w:rsidRPr="00542CB6">
        <w:rPr>
          <w:szCs w:val="22"/>
        </w:rPr>
        <w:t xml:space="preserve">to support its response to this Notice with an affidavit or declaration under penalty of perjury, signed and dated by an authorized officer of </w:t>
      </w:r>
      <w:r w:rsidR="000A5F85">
        <w:rPr>
          <w:szCs w:val="22"/>
        </w:rPr>
        <w:t>SSA</w:t>
      </w:r>
      <w:r w:rsidR="00B9243B">
        <w:rPr>
          <w:szCs w:val="22"/>
        </w:rPr>
        <w:t xml:space="preserve"> </w:t>
      </w:r>
      <w:r w:rsidRPr="00542CB6">
        <w:rPr>
          <w:szCs w:val="22"/>
        </w:rPr>
        <w:t xml:space="preserve">with personal knowledge of the representations provided in </w:t>
      </w:r>
      <w:r>
        <w:rPr>
          <w:szCs w:val="22"/>
        </w:rPr>
        <w:t xml:space="preserve">the </w:t>
      </w:r>
      <w:r w:rsidRPr="00542CB6">
        <w:rPr>
          <w:szCs w:val="22"/>
        </w:rPr>
        <w:t>response, verifying the truth and accuracy of the information therein,</w:t>
      </w:r>
      <w:r>
        <w:rPr>
          <w:rStyle w:val="FootnoteReference"/>
          <w:sz w:val="22"/>
          <w:szCs w:val="22"/>
        </w:rPr>
        <w:footnoteReference w:id="9"/>
      </w:r>
      <w:r w:rsidRPr="00542CB6">
        <w:rPr>
          <w:szCs w:val="22"/>
        </w:rPr>
        <w:t xml:space="preserve"> and confirming that all of the information requested by this Notice which is in </w:t>
      </w:r>
      <w:r>
        <w:rPr>
          <w:szCs w:val="22"/>
        </w:rPr>
        <w:t xml:space="preserve">the </w:t>
      </w:r>
      <w:r w:rsidR="000A5F85">
        <w:rPr>
          <w:szCs w:val="22"/>
        </w:rPr>
        <w:t>SSA</w:t>
      </w:r>
      <w:r w:rsidRPr="00542CB6" w:rsidR="009D0BE6">
        <w:rPr>
          <w:szCs w:val="22"/>
        </w:rPr>
        <w:t>’</w:t>
      </w:r>
      <w:r w:rsidRPr="00542CB6" w:rsidR="009D46D8">
        <w:rPr>
          <w:szCs w:val="22"/>
        </w:rPr>
        <w:t>s</w:t>
      </w:r>
      <w:r w:rsidRPr="00542CB6">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10"/>
      </w:r>
      <w:r w:rsidRPr="00542CB6">
        <w:rPr>
          <w:szCs w:val="22"/>
        </w:rPr>
        <w:t xml:space="preserve">  </w:t>
      </w:r>
    </w:p>
    <w:p w:rsidR="00E15A65" w:rsidRPr="00542CB6" w:rsidP="000D5C83" w14:paraId="5F74B6A8" w14:textId="77777777">
      <w:pPr>
        <w:pStyle w:val="BodyTextIndent3"/>
        <w:ind w:firstLine="0"/>
        <w:jc w:val="left"/>
        <w:rPr>
          <w:szCs w:val="22"/>
        </w:rPr>
      </w:pPr>
    </w:p>
    <w:p w:rsidR="000D5C83" w:rsidRPr="00542CB6" w:rsidP="000D5C83" w14:paraId="12F7D13C" w14:textId="0DB85A54">
      <w:pPr>
        <w:pStyle w:val="BodyTextIndent3"/>
        <w:numPr>
          <w:ilvl w:val="0"/>
          <w:numId w:val="1"/>
        </w:numPr>
        <w:tabs>
          <w:tab w:val="num" w:pos="0"/>
        </w:tabs>
        <w:ind w:left="0" w:firstLine="720"/>
        <w:jc w:val="left"/>
        <w:rPr>
          <w:szCs w:val="22"/>
        </w:rPr>
      </w:pPr>
      <w:r w:rsidRPr="00542CB6">
        <w:rPr>
          <w:szCs w:val="22"/>
        </w:rPr>
        <w:t>All replies and documentation sent in response to this Notice should be marked with the File No. specified above, and mailed to the following address:</w:t>
      </w:r>
    </w:p>
    <w:p w:rsidR="000D5C83" w:rsidRPr="00542CB6" w:rsidP="000D5C83" w14:paraId="4822B5A6" w14:textId="77777777">
      <w:pPr>
        <w:keepNext/>
        <w:keepLines/>
        <w:ind w:left="2520"/>
        <w:rPr>
          <w:sz w:val="22"/>
          <w:szCs w:val="22"/>
        </w:rPr>
      </w:pPr>
    </w:p>
    <w:p w:rsidR="00A605FF" w:rsidRPr="00A605FF" w:rsidP="0014684D" w14:paraId="77237967" w14:textId="77777777">
      <w:pPr>
        <w:ind w:firstLine="720"/>
        <w:jc w:val="center"/>
        <w:rPr>
          <w:noProof/>
          <w:sz w:val="22"/>
          <w:szCs w:val="22"/>
        </w:rPr>
      </w:pPr>
      <w:r w:rsidRPr="00A605FF">
        <w:rPr>
          <w:sz w:val="22"/>
          <w:szCs w:val="22"/>
        </w:rPr>
        <w:t>Federal Communications Commission</w:t>
      </w:r>
    </w:p>
    <w:p w:rsidR="00A605FF" w:rsidRPr="00A605FF" w:rsidP="0014684D" w14:paraId="26F567D8" w14:textId="77777777">
      <w:pPr>
        <w:ind w:firstLine="720"/>
        <w:jc w:val="center"/>
        <w:rPr>
          <w:sz w:val="22"/>
          <w:szCs w:val="22"/>
        </w:rPr>
      </w:pPr>
      <w:r w:rsidRPr="00A605FF">
        <w:rPr>
          <w:sz w:val="22"/>
          <w:szCs w:val="22"/>
        </w:rPr>
        <w:t>Los Angeles Regional Office</w:t>
      </w:r>
    </w:p>
    <w:p w:rsidR="00A605FF" w:rsidRPr="00A605FF" w:rsidP="0014684D" w14:paraId="2F9D9406" w14:textId="77777777">
      <w:pPr>
        <w:ind w:firstLine="720"/>
        <w:jc w:val="center"/>
        <w:rPr>
          <w:sz w:val="22"/>
          <w:szCs w:val="22"/>
        </w:rPr>
      </w:pPr>
      <w:r w:rsidRPr="00A605FF">
        <w:rPr>
          <w:sz w:val="22"/>
          <w:szCs w:val="22"/>
        </w:rPr>
        <w:t>11331 183</w:t>
      </w:r>
      <w:r w:rsidRPr="00A605FF">
        <w:rPr>
          <w:sz w:val="22"/>
          <w:szCs w:val="22"/>
          <w:vertAlign w:val="superscript"/>
        </w:rPr>
        <w:t>rd</w:t>
      </w:r>
      <w:r w:rsidRPr="00A605FF">
        <w:rPr>
          <w:sz w:val="22"/>
          <w:szCs w:val="22"/>
        </w:rPr>
        <w:t xml:space="preserve"> Street, PMB #365</w:t>
      </w:r>
    </w:p>
    <w:p w:rsidR="00A605FF" w:rsidRPr="00A605FF" w:rsidP="0014684D" w14:paraId="4B4479C1" w14:textId="77777777">
      <w:pPr>
        <w:ind w:firstLine="720"/>
        <w:jc w:val="center"/>
        <w:rPr>
          <w:sz w:val="22"/>
          <w:szCs w:val="22"/>
        </w:rPr>
      </w:pPr>
      <w:r w:rsidRPr="00A605FF">
        <w:rPr>
          <w:sz w:val="22"/>
          <w:szCs w:val="22"/>
        </w:rPr>
        <w:t>Cerritos, CA 90703</w:t>
      </w:r>
    </w:p>
    <w:p w:rsidR="005953D4" w:rsidP="0014684D" w14:paraId="7BA3EE75" w14:textId="3E1350F4">
      <w:pPr>
        <w:ind w:firstLine="720"/>
        <w:jc w:val="center"/>
        <w:rPr>
          <w:sz w:val="22"/>
          <w:szCs w:val="22"/>
        </w:rPr>
      </w:pPr>
      <w:r w:rsidRPr="00533800">
        <w:rPr>
          <w:rStyle w:val="Hyperlink"/>
          <w:color w:val="auto"/>
          <w:sz w:val="22"/>
          <w:szCs w:val="22"/>
          <w:u w:val="none"/>
        </w:rPr>
        <w:t xml:space="preserve">Email:  </w:t>
      </w:r>
      <w:hyperlink r:id="rId5" w:history="1">
        <w:r w:rsidRPr="003B1254" w:rsidR="006D109A">
          <w:rPr>
            <w:rStyle w:val="Hyperlink"/>
            <w:sz w:val="22"/>
            <w:szCs w:val="22"/>
          </w:rPr>
          <w:t>Field@FCC.gov</w:t>
        </w:r>
      </w:hyperlink>
    </w:p>
    <w:p w:rsidR="005953D4" w:rsidRPr="00542CB6" w:rsidP="000D5C83" w14:paraId="5AFFFAA9" w14:textId="77777777">
      <w:pPr>
        <w:tabs>
          <w:tab w:val="left" w:pos="-1440"/>
        </w:tabs>
        <w:ind w:left="2520"/>
        <w:rPr>
          <w:sz w:val="22"/>
          <w:szCs w:val="22"/>
        </w:rPr>
      </w:pPr>
    </w:p>
    <w:p w:rsidR="000A5F85" w:rsidRPr="000A5F85" w:rsidP="000A5F85" w14:paraId="28B57BBC" w14:textId="411BCA77">
      <w:pPr>
        <w:numPr>
          <w:ilvl w:val="0"/>
          <w:numId w:val="1"/>
        </w:numPr>
        <w:tabs>
          <w:tab w:val="left" w:pos="-1440"/>
        </w:tabs>
        <w:ind w:left="0" w:firstLine="720"/>
        <w:rPr>
          <w:b/>
          <w:sz w:val="22"/>
          <w:szCs w:val="22"/>
        </w:rPr>
      </w:pPr>
      <w:r w:rsidRPr="00542CB6">
        <w:rPr>
          <w:sz w:val="22"/>
          <w:szCs w:val="22"/>
        </w:rPr>
        <w:t xml:space="preserve">This Notice shall be sent to </w:t>
      </w:r>
      <w:r>
        <w:rPr>
          <w:sz w:val="22"/>
          <w:szCs w:val="22"/>
        </w:rPr>
        <w:t xml:space="preserve">SSA Marine, </w:t>
      </w:r>
      <w:r w:rsidR="007C01BC">
        <w:rPr>
          <w:sz w:val="22"/>
          <w:szCs w:val="22"/>
        </w:rPr>
        <w:t xml:space="preserve">Attn: Dennis </w:t>
      </w:r>
      <w:r w:rsidR="007C01BC">
        <w:rPr>
          <w:sz w:val="22"/>
          <w:szCs w:val="22"/>
        </w:rPr>
        <w:t>Boelke</w:t>
      </w:r>
      <w:r w:rsidR="007C01BC">
        <w:rPr>
          <w:sz w:val="22"/>
          <w:szCs w:val="22"/>
        </w:rPr>
        <w:t xml:space="preserve">, </w:t>
      </w:r>
      <w:r>
        <w:rPr>
          <w:sz w:val="22"/>
          <w:szCs w:val="22"/>
        </w:rPr>
        <w:t xml:space="preserve">1131 SW Klickitat Way, Seattle, Washington 98134, with a copy to </w:t>
      </w:r>
      <w:r>
        <w:rPr>
          <w:sz w:val="22"/>
          <w:szCs w:val="22"/>
        </w:rPr>
        <w:t>Bear</w:t>
      </w:r>
      <w:r w:rsidR="006F21E5">
        <w:rPr>
          <w:sz w:val="22"/>
          <w:szCs w:val="22"/>
        </w:rPr>
        <w:t>c</w:t>
      </w:r>
      <w:r>
        <w:rPr>
          <w:sz w:val="22"/>
          <w:szCs w:val="22"/>
        </w:rPr>
        <w:t>om</w:t>
      </w:r>
      <w:r>
        <w:rPr>
          <w:sz w:val="22"/>
          <w:szCs w:val="22"/>
        </w:rPr>
        <w:t xml:space="preserve">, </w:t>
      </w:r>
      <w:r w:rsidR="009E05B0">
        <w:rPr>
          <w:sz w:val="22"/>
          <w:szCs w:val="22"/>
        </w:rPr>
        <w:t xml:space="preserve">Attn: Ken Scott, </w:t>
      </w:r>
      <w:r>
        <w:rPr>
          <w:sz w:val="22"/>
          <w:szCs w:val="22"/>
        </w:rPr>
        <w:t>8584 Venice Blvd., Los Angeles, California 90034.</w:t>
      </w:r>
    </w:p>
    <w:p w:rsidR="000A5F85" w:rsidRPr="000A5F85" w:rsidP="000A5F85" w14:paraId="462FBCA3" w14:textId="77777777">
      <w:pPr>
        <w:tabs>
          <w:tab w:val="left" w:pos="-1440"/>
        </w:tabs>
        <w:ind w:left="720"/>
        <w:rPr>
          <w:b/>
          <w:sz w:val="22"/>
          <w:szCs w:val="22"/>
        </w:rPr>
      </w:pPr>
    </w:p>
    <w:p w:rsidR="000D5C83" w:rsidRPr="000A5F85" w:rsidP="000A5F85" w14:paraId="5EC1DD7A" w14:textId="5558AE9E">
      <w:pPr>
        <w:numPr>
          <w:ilvl w:val="0"/>
          <w:numId w:val="1"/>
        </w:numPr>
        <w:tabs>
          <w:tab w:val="left" w:pos="-1440"/>
        </w:tabs>
        <w:ind w:left="0" w:firstLine="720"/>
        <w:rPr>
          <w:b/>
          <w:sz w:val="22"/>
          <w:szCs w:val="22"/>
        </w:rPr>
      </w:pPr>
      <w:r w:rsidRPr="000A5F85">
        <w:rPr>
          <w:sz w:val="22"/>
          <w:szCs w:val="22"/>
        </w:rPr>
        <w:t>The Privacy Act of 1974</w:t>
      </w:r>
      <w:r>
        <w:rPr>
          <w:rStyle w:val="FootnoteReference"/>
          <w:sz w:val="22"/>
          <w:szCs w:val="22"/>
        </w:rPr>
        <w:footnoteReference w:id="11"/>
      </w:r>
      <w:r w:rsidRPr="000A5F85">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9D0BE6" w:rsidRPr="00542CB6" w:rsidP="000D5C83" w14:paraId="05E01F5B" w14:textId="77777777">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E456AF" w:rsidRPr="00542CB6" w:rsidP="00DB0F0E" w14:paraId="6CBE5126" w14:textId="186A7C64">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5124" w:rsidP="000D5C83" w14:paraId="1F987CE5" w14:textId="77777777">
      <w:r>
        <w:separator/>
      </w:r>
    </w:p>
  </w:footnote>
  <w:footnote w:type="continuationSeparator" w:id="1">
    <w:p w:rsidR="009B5124" w:rsidP="000D5C83" w14:paraId="5EDE41D9"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A966B2" w:rsidP="00A966B2" w14:paraId="7DEE0F54" w14:textId="7EE0CDDA">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footnote>
  <w:footnote w:id="4">
    <w:p w:rsidR="00A966B2" w:rsidP="00AD7A98" w14:paraId="4BEE8611" w14:textId="1B4345FD">
      <w:pPr>
        <w:pStyle w:val="FootnoteText"/>
        <w:spacing w:after="120"/>
      </w:pPr>
      <w:r>
        <w:rPr>
          <w:rStyle w:val="FootnoteReference"/>
        </w:rPr>
        <w:footnoteRef/>
      </w:r>
      <w:r>
        <w:t xml:space="preserve"> 47 CFR § 90.403(c).</w:t>
      </w:r>
    </w:p>
  </w:footnote>
  <w:footnote w:id="5">
    <w:p w:rsidR="00A966B2" w14:paraId="4B5F49D5" w14:textId="3EC790AF">
      <w:pPr>
        <w:pStyle w:val="FootnoteText"/>
      </w:pPr>
      <w:r>
        <w:rPr>
          <w:rStyle w:val="FootnoteReference"/>
        </w:rPr>
        <w:footnoteRef/>
      </w:r>
      <w:r>
        <w:t xml:space="preserve">  </w:t>
      </w:r>
      <w:r w:rsidRPr="00AD7A98">
        <w:rPr>
          <w:szCs w:val="18"/>
        </w:rPr>
        <w:t>47 CFR § 90.403(e).</w:t>
      </w:r>
    </w:p>
  </w:footnote>
  <w:footnote w:id="6">
    <w:p w:rsidR="00A966B2" w:rsidP="00AD7A98" w14:paraId="545A541A" w14:textId="3F5A4E2C">
      <w:pPr>
        <w:pStyle w:val="FootnoteText"/>
        <w:spacing w:after="120"/>
      </w:pPr>
      <w:r>
        <w:rPr>
          <w:rStyle w:val="FootnoteReference"/>
        </w:rPr>
        <w:footnoteRef/>
      </w:r>
      <w:r>
        <w:t xml:space="preserve"> </w:t>
      </w:r>
      <w:r w:rsidRPr="00AD7A98">
        <w:rPr>
          <w:szCs w:val="18"/>
        </w:rPr>
        <w:t>47 CFR § 90.187(b).</w:t>
      </w:r>
    </w:p>
  </w:footnote>
  <w:footnote w:id="7">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8">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9">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10">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11">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262F5"/>
    <w:rsid w:val="000338C0"/>
    <w:rsid w:val="00060B97"/>
    <w:rsid w:val="0006742C"/>
    <w:rsid w:val="00073306"/>
    <w:rsid w:val="00077B9D"/>
    <w:rsid w:val="00081E42"/>
    <w:rsid w:val="00085442"/>
    <w:rsid w:val="000A5F85"/>
    <w:rsid w:val="000C1A39"/>
    <w:rsid w:val="000C3612"/>
    <w:rsid w:val="000C38D2"/>
    <w:rsid w:val="000C6349"/>
    <w:rsid w:val="000C6C37"/>
    <w:rsid w:val="000D5C83"/>
    <w:rsid w:val="000D5F63"/>
    <w:rsid w:val="000F0ACD"/>
    <w:rsid w:val="00114C23"/>
    <w:rsid w:val="0014684D"/>
    <w:rsid w:val="00151F10"/>
    <w:rsid w:val="0016325C"/>
    <w:rsid w:val="00164716"/>
    <w:rsid w:val="00175A83"/>
    <w:rsid w:val="00182C8B"/>
    <w:rsid w:val="00190F97"/>
    <w:rsid w:val="001A7A26"/>
    <w:rsid w:val="001B463D"/>
    <w:rsid w:val="001E05A1"/>
    <w:rsid w:val="001F172E"/>
    <w:rsid w:val="001F78C3"/>
    <w:rsid w:val="00202C65"/>
    <w:rsid w:val="00221838"/>
    <w:rsid w:val="00235B40"/>
    <w:rsid w:val="0024386A"/>
    <w:rsid w:val="00252FBB"/>
    <w:rsid w:val="00260321"/>
    <w:rsid w:val="00267465"/>
    <w:rsid w:val="00282DA5"/>
    <w:rsid w:val="002A2434"/>
    <w:rsid w:val="002B6193"/>
    <w:rsid w:val="002D02F7"/>
    <w:rsid w:val="002D16A2"/>
    <w:rsid w:val="002F6BC8"/>
    <w:rsid w:val="00307447"/>
    <w:rsid w:val="00314843"/>
    <w:rsid w:val="00320391"/>
    <w:rsid w:val="003422DD"/>
    <w:rsid w:val="00366ABE"/>
    <w:rsid w:val="00381BDB"/>
    <w:rsid w:val="003878A7"/>
    <w:rsid w:val="00396945"/>
    <w:rsid w:val="003B1254"/>
    <w:rsid w:val="003B358F"/>
    <w:rsid w:val="003C26A0"/>
    <w:rsid w:val="003E5DDD"/>
    <w:rsid w:val="003E7DC0"/>
    <w:rsid w:val="003F4313"/>
    <w:rsid w:val="0041136F"/>
    <w:rsid w:val="00416EBA"/>
    <w:rsid w:val="00417644"/>
    <w:rsid w:val="00420A2C"/>
    <w:rsid w:val="00421844"/>
    <w:rsid w:val="00422BD7"/>
    <w:rsid w:val="004500A1"/>
    <w:rsid w:val="00450D2F"/>
    <w:rsid w:val="004908B4"/>
    <w:rsid w:val="004971D1"/>
    <w:rsid w:val="00497D7F"/>
    <w:rsid w:val="004A0CEE"/>
    <w:rsid w:val="004A5683"/>
    <w:rsid w:val="004C5A56"/>
    <w:rsid w:val="004C5FDD"/>
    <w:rsid w:val="004D35E9"/>
    <w:rsid w:val="004E3D31"/>
    <w:rsid w:val="004E614A"/>
    <w:rsid w:val="00501452"/>
    <w:rsid w:val="005014E2"/>
    <w:rsid w:val="005042C0"/>
    <w:rsid w:val="00505582"/>
    <w:rsid w:val="00510AC7"/>
    <w:rsid w:val="00521502"/>
    <w:rsid w:val="00526FE6"/>
    <w:rsid w:val="005334AF"/>
    <w:rsid w:val="00533800"/>
    <w:rsid w:val="00540543"/>
    <w:rsid w:val="005410A6"/>
    <w:rsid w:val="00542CB6"/>
    <w:rsid w:val="00545132"/>
    <w:rsid w:val="00552B84"/>
    <w:rsid w:val="00564F45"/>
    <w:rsid w:val="00576298"/>
    <w:rsid w:val="005953D4"/>
    <w:rsid w:val="00596F58"/>
    <w:rsid w:val="005B3619"/>
    <w:rsid w:val="005B433A"/>
    <w:rsid w:val="005B60F7"/>
    <w:rsid w:val="005C280C"/>
    <w:rsid w:val="005D5496"/>
    <w:rsid w:val="005E1D67"/>
    <w:rsid w:val="005E5094"/>
    <w:rsid w:val="005F408D"/>
    <w:rsid w:val="006014FD"/>
    <w:rsid w:val="00615992"/>
    <w:rsid w:val="006468E9"/>
    <w:rsid w:val="006621FA"/>
    <w:rsid w:val="00682289"/>
    <w:rsid w:val="00690226"/>
    <w:rsid w:val="006A231E"/>
    <w:rsid w:val="006C3387"/>
    <w:rsid w:val="006C5959"/>
    <w:rsid w:val="006D109A"/>
    <w:rsid w:val="006D36C3"/>
    <w:rsid w:val="006E5D7B"/>
    <w:rsid w:val="006F21E5"/>
    <w:rsid w:val="0070106B"/>
    <w:rsid w:val="00701309"/>
    <w:rsid w:val="0072561F"/>
    <w:rsid w:val="00737B1E"/>
    <w:rsid w:val="007409C3"/>
    <w:rsid w:val="00750F2C"/>
    <w:rsid w:val="00755DB6"/>
    <w:rsid w:val="00757DAC"/>
    <w:rsid w:val="00771838"/>
    <w:rsid w:val="00775FA7"/>
    <w:rsid w:val="00783123"/>
    <w:rsid w:val="007832A7"/>
    <w:rsid w:val="007839E1"/>
    <w:rsid w:val="00794B17"/>
    <w:rsid w:val="007C01BC"/>
    <w:rsid w:val="007C3D20"/>
    <w:rsid w:val="007C645A"/>
    <w:rsid w:val="007C6F4A"/>
    <w:rsid w:val="007E1EC6"/>
    <w:rsid w:val="007E63CF"/>
    <w:rsid w:val="00806A66"/>
    <w:rsid w:val="00811A83"/>
    <w:rsid w:val="00820E64"/>
    <w:rsid w:val="00835F2B"/>
    <w:rsid w:val="00873A74"/>
    <w:rsid w:val="008846B9"/>
    <w:rsid w:val="008908BC"/>
    <w:rsid w:val="008A1B5D"/>
    <w:rsid w:val="008A5060"/>
    <w:rsid w:val="008B44F7"/>
    <w:rsid w:val="008C6A03"/>
    <w:rsid w:val="008E0DEE"/>
    <w:rsid w:val="00915A56"/>
    <w:rsid w:val="009379DD"/>
    <w:rsid w:val="00941F18"/>
    <w:rsid w:val="009459FA"/>
    <w:rsid w:val="009477FA"/>
    <w:rsid w:val="00954889"/>
    <w:rsid w:val="00975596"/>
    <w:rsid w:val="00981A62"/>
    <w:rsid w:val="009A2F35"/>
    <w:rsid w:val="009B5124"/>
    <w:rsid w:val="009D0BE6"/>
    <w:rsid w:val="009D38CB"/>
    <w:rsid w:val="009D4408"/>
    <w:rsid w:val="009D46D8"/>
    <w:rsid w:val="009E05B0"/>
    <w:rsid w:val="009E4D79"/>
    <w:rsid w:val="009F7E3E"/>
    <w:rsid w:val="00A1128E"/>
    <w:rsid w:val="00A2435B"/>
    <w:rsid w:val="00A43470"/>
    <w:rsid w:val="00A522AF"/>
    <w:rsid w:val="00A605FF"/>
    <w:rsid w:val="00A64CB0"/>
    <w:rsid w:val="00A670F1"/>
    <w:rsid w:val="00A845D3"/>
    <w:rsid w:val="00A90CDA"/>
    <w:rsid w:val="00A966B2"/>
    <w:rsid w:val="00AA04E0"/>
    <w:rsid w:val="00AA3398"/>
    <w:rsid w:val="00AB1536"/>
    <w:rsid w:val="00AB6F7F"/>
    <w:rsid w:val="00AD21A9"/>
    <w:rsid w:val="00AD7A98"/>
    <w:rsid w:val="00AF57E8"/>
    <w:rsid w:val="00AF69B9"/>
    <w:rsid w:val="00B0169D"/>
    <w:rsid w:val="00B040C5"/>
    <w:rsid w:val="00B13BF2"/>
    <w:rsid w:val="00B177F8"/>
    <w:rsid w:val="00B21573"/>
    <w:rsid w:val="00B34E61"/>
    <w:rsid w:val="00B74069"/>
    <w:rsid w:val="00B85282"/>
    <w:rsid w:val="00B87FA8"/>
    <w:rsid w:val="00B9243B"/>
    <w:rsid w:val="00B967E1"/>
    <w:rsid w:val="00BA65D8"/>
    <w:rsid w:val="00BC5793"/>
    <w:rsid w:val="00C06A5B"/>
    <w:rsid w:val="00C10720"/>
    <w:rsid w:val="00C1370E"/>
    <w:rsid w:val="00C26DA6"/>
    <w:rsid w:val="00C31138"/>
    <w:rsid w:val="00C500B6"/>
    <w:rsid w:val="00C50F25"/>
    <w:rsid w:val="00C55D7D"/>
    <w:rsid w:val="00C6082B"/>
    <w:rsid w:val="00C64968"/>
    <w:rsid w:val="00C64F76"/>
    <w:rsid w:val="00C7211E"/>
    <w:rsid w:val="00C771A7"/>
    <w:rsid w:val="00CC1103"/>
    <w:rsid w:val="00CD6706"/>
    <w:rsid w:val="00CE16B6"/>
    <w:rsid w:val="00CF4A31"/>
    <w:rsid w:val="00D0357B"/>
    <w:rsid w:val="00D24680"/>
    <w:rsid w:val="00D4248A"/>
    <w:rsid w:val="00D42843"/>
    <w:rsid w:val="00D60DEF"/>
    <w:rsid w:val="00D74A92"/>
    <w:rsid w:val="00D85B9D"/>
    <w:rsid w:val="00D94567"/>
    <w:rsid w:val="00D955FF"/>
    <w:rsid w:val="00D95D81"/>
    <w:rsid w:val="00D96444"/>
    <w:rsid w:val="00DB0F0E"/>
    <w:rsid w:val="00DC1760"/>
    <w:rsid w:val="00DC2052"/>
    <w:rsid w:val="00DC7C86"/>
    <w:rsid w:val="00DD7F80"/>
    <w:rsid w:val="00DF11D1"/>
    <w:rsid w:val="00E15A65"/>
    <w:rsid w:val="00E2591A"/>
    <w:rsid w:val="00E3193F"/>
    <w:rsid w:val="00E37BD6"/>
    <w:rsid w:val="00E435E2"/>
    <w:rsid w:val="00E456AF"/>
    <w:rsid w:val="00E4767F"/>
    <w:rsid w:val="00E601A3"/>
    <w:rsid w:val="00E62E83"/>
    <w:rsid w:val="00E81F05"/>
    <w:rsid w:val="00EC7267"/>
    <w:rsid w:val="00EE1522"/>
    <w:rsid w:val="00EF40B6"/>
    <w:rsid w:val="00EF7E67"/>
    <w:rsid w:val="00F02974"/>
    <w:rsid w:val="00F15C70"/>
    <w:rsid w:val="00F230A8"/>
    <w:rsid w:val="00F30D14"/>
    <w:rsid w:val="00F41F92"/>
    <w:rsid w:val="00F44FD1"/>
    <w:rsid w:val="00F53C4B"/>
    <w:rsid w:val="00F606D8"/>
    <w:rsid w:val="00F610F6"/>
    <w:rsid w:val="00F76B53"/>
    <w:rsid w:val="00F8345B"/>
    <w:rsid w:val="00F855F9"/>
    <w:rsid w:val="00F906B1"/>
    <w:rsid w:val="00FA2394"/>
    <w:rsid w:val="00FA4202"/>
    <w:rsid w:val="00FB0FDF"/>
    <w:rsid w:val="00FC0158"/>
    <w:rsid w:val="00FC62B0"/>
    <w:rsid w:val="00FE012F"/>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