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5A6FC0B" w14:textId="77777777" w:rsidTr="006D5D22">
        <w:tblPrEx>
          <w:tblW w:w="0" w:type="auto"/>
          <w:tblLook w:val="0000"/>
        </w:tblPrEx>
        <w:trPr>
          <w:trHeight w:val="2181"/>
        </w:trPr>
        <w:tc>
          <w:tcPr>
            <w:tcW w:w="8856" w:type="dxa"/>
          </w:tcPr>
          <w:p w:rsidR="00FF232D" w:rsidP="006A7D75" w14:paraId="55A6FBF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3758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5A6FBF2" w14:textId="77777777">
            <w:pPr>
              <w:rPr>
                <w:b/>
                <w:bCs/>
                <w:sz w:val="12"/>
                <w:szCs w:val="12"/>
              </w:rPr>
            </w:pPr>
          </w:p>
          <w:p w:rsidR="007A44F8" w:rsidRPr="00824D79" w:rsidP="00BB4E29" w14:paraId="55A6FBF3" w14:textId="77777777">
            <w:pPr>
              <w:rPr>
                <w:b/>
                <w:bCs/>
                <w:sz w:val="22"/>
                <w:szCs w:val="22"/>
              </w:rPr>
            </w:pPr>
            <w:r w:rsidRPr="00824D79">
              <w:rPr>
                <w:b/>
                <w:bCs/>
                <w:sz w:val="22"/>
                <w:szCs w:val="22"/>
              </w:rPr>
              <w:t xml:space="preserve">Media </w:t>
            </w:r>
            <w:r w:rsidRPr="00824D79">
              <w:rPr>
                <w:b/>
                <w:bCs/>
                <w:sz w:val="22"/>
                <w:szCs w:val="22"/>
              </w:rPr>
              <w:t>Contact</w:t>
            </w:r>
            <w:r w:rsidRPr="00824D79">
              <w:rPr>
                <w:b/>
                <w:bCs/>
                <w:sz w:val="22"/>
                <w:szCs w:val="22"/>
              </w:rPr>
              <w:t xml:space="preserve">: </w:t>
            </w:r>
          </w:p>
          <w:p w:rsidR="007A44F8" w:rsidRPr="00F9105F" w:rsidP="00BB4E29" w14:paraId="55A6FBF4" w14:textId="77777777">
            <w:pPr>
              <w:rPr>
                <w:bCs/>
                <w:sz w:val="22"/>
                <w:szCs w:val="22"/>
              </w:rPr>
            </w:pPr>
            <w:r w:rsidRPr="00F9105F">
              <w:rPr>
                <w:bCs/>
                <w:sz w:val="22"/>
                <w:szCs w:val="22"/>
              </w:rPr>
              <w:t>N</w:t>
            </w:r>
            <w:r w:rsidRPr="00824D79">
              <w:rPr>
                <w:bCs/>
                <w:sz w:val="22"/>
                <w:szCs w:val="22"/>
              </w:rPr>
              <w:t>eil Grace, (202)</w:t>
            </w:r>
            <w:r>
              <w:rPr>
                <w:bCs/>
                <w:sz w:val="22"/>
                <w:szCs w:val="22"/>
              </w:rPr>
              <w:t xml:space="preserve"> 418 0506</w:t>
            </w:r>
          </w:p>
          <w:p w:rsidR="007A44F8" w:rsidRPr="00F9105F" w:rsidP="00BB4E29" w14:paraId="55A6FBF5" w14:textId="77777777">
            <w:pPr>
              <w:rPr>
                <w:bCs/>
                <w:sz w:val="22"/>
                <w:szCs w:val="22"/>
              </w:rPr>
            </w:pPr>
            <w:r>
              <w:rPr>
                <w:bCs/>
                <w:sz w:val="22"/>
                <w:szCs w:val="22"/>
              </w:rPr>
              <w:t>Neil.Grace@fcc.gov</w:t>
            </w:r>
          </w:p>
          <w:p w:rsidR="00D86CC2" w:rsidP="00BB4E29" w14:paraId="55A6FBF6" w14:textId="77777777">
            <w:pPr>
              <w:rPr>
                <w:b/>
                <w:sz w:val="22"/>
                <w:szCs w:val="22"/>
              </w:rPr>
            </w:pPr>
          </w:p>
          <w:p w:rsidR="007A44F8" w:rsidRPr="008A3940" w:rsidP="00BB4E29" w14:paraId="55A6FBF7" w14:textId="77777777">
            <w:pPr>
              <w:rPr>
                <w:b/>
                <w:sz w:val="22"/>
                <w:szCs w:val="22"/>
              </w:rPr>
            </w:pPr>
            <w:r w:rsidRPr="008A3940">
              <w:rPr>
                <w:b/>
                <w:sz w:val="22"/>
                <w:szCs w:val="22"/>
              </w:rPr>
              <w:t>For Immediate Release</w:t>
            </w:r>
          </w:p>
          <w:p w:rsidR="007A44F8" w:rsidRPr="004A729A" w:rsidP="00BB4E29" w14:paraId="55A6FBF8" w14:textId="77777777">
            <w:pPr>
              <w:jc w:val="center"/>
              <w:rPr>
                <w:b/>
                <w:bCs/>
                <w:sz w:val="22"/>
                <w:szCs w:val="22"/>
              </w:rPr>
            </w:pPr>
          </w:p>
          <w:p w:rsidR="000E049E" w:rsidP="00732DFD" w14:paraId="55A6FBF9" w14:textId="234043A1">
            <w:pPr>
              <w:tabs>
                <w:tab w:val="left" w:pos="8625"/>
              </w:tabs>
              <w:jc w:val="center"/>
              <w:rPr>
                <w:b/>
                <w:bCs/>
                <w:sz w:val="26"/>
                <w:szCs w:val="26"/>
              </w:rPr>
            </w:pPr>
            <w:r w:rsidRPr="000E049E">
              <w:rPr>
                <w:b/>
                <w:bCs/>
                <w:sz w:val="26"/>
                <w:szCs w:val="26"/>
              </w:rPr>
              <w:t xml:space="preserve">FCC </w:t>
            </w:r>
            <w:r w:rsidR="007807BB">
              <w:rPr>
                <w:b/>
                <w:bCs/>
                <w:sz w:val="26"/>
                <w:szCs w:val="26"/>
              </w:rPr>
              <w:t xml:space="preserve">DENIES CHINA MOBILE </w:t>
            </w:r>
            <w:r w:rsidR="00641690">
              <w:rPr>
                <w:b/>
                <w:bCs/>
                <w:sz w:val="26"/>
                <w:szCs w:val="26"/>
              </w:rPr>
              <w:t xml:space="preserve">USA </w:t>
            </w:r>
            <w:r w:rsidR="007807BB">
              <w:rPr>
                <w:b/>
                <w:bCs/>
                <w:sz w:val="26"/>
                <w:szCs w:val="26"/>
              </w:rPr>
              <w:t>APPLICATION</w:t>
            </w:r>
            <w:r w:rsidR="002821FD">
              <w:rPr>
                <w:b/>
                <w:bCs/>
                <w:sz w:val="26"/>
                <w:szCs w:val="26"/>
              </w:rPr>
              <w:t xml:space="preserve"> TO PROVIDE TELECOMMUNICATIONS SERVICES </w:t>
            </w:r>
          </w:p>
          <w:p w:rsidR="00F61155" w:rsidRPr="006B0A70" w:rsidP="00732DFD" w14:paraId="55A6FBF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86CC2" w:rsidP="00D86CC2" w14:paraId="55A6FBFB" w14:textId="736F396C">
            <w:pPr>
              <w:tabs>
                <w:tab w:val="left" w:pos="8640"/>
              </w:tabs>
              <w:rPr>
                <w:sz w:val="22"/>
                <w:szCs w:val="22"/>
              </w:rPr>
            </w:pPr>
            <w:r w:rsidRPr="008A3940">
              <w:rPr>
                <w:sz w:val="22"/>
                <w:szCs w:val="22"/>
              </w:rPr>
              <w:t xml:space="preserve">WASHINGTON, </w:t>
            </w:r>
            <w:r w:rsidR="007807BB">
              <w:rPr>
                <w:sz w:val="22"/>
                <w:szCs w:val="22"/>
              </w:rPr>
              <w:t>May</w:t>
            </w:r>
            <w:r w:rsidR="005417E2">
              <w:rPr>
                <w:sz w:val="22"/>
                <w:szCs w:val="22"/>
              </w:rPr>
              <w:t xml:space="preserve"> </w:t>
            </w:r>
            <w:r w:rsidR="007807BB">
              <w:rPr>
                <w:sz w:val="22"/>
                <w:szCs w:val="22"/>
              </w:rPr>
              <w:t>9</w:t>
            </w:r>
            <w:r w:rsidR="00065E2D">
              <w:rPr>
                <w:sz w:val="22"/>
                <w:szCs w:val="22"/>
              </w:rPr>
              <w:t>, 201</w:t>
            </w:r>
            <w:r w:rsidR="007475A1">
              <w:rPr>
                <w:sz w:val="22"/>
                <w:szCs w:val="22"/>
              </w:rPr>
              <w:t>9</w:t>
            </w:r>
            <w:r w:rsidR="00D861EE">
              <w:rPr>
                <w:sz w:val="22"/>
                <w:szCs w:val="22"/>
              </w:rPr>
              <w:t>—</w:t>
            </w:r>
            <w:r w:rsidRPr="00C35D57" w:rsidR="000E049E">
              <w:rPr>
                <w:sz w:val="22"/>
                <w:szCs w:val="22"/>
              </w:rPr>
              <w:t>The Federal Communications Commission today</w:t>
            </w:r>
            <w:r w:rsidRPr="00C35D57" w:rsidR="00040127">
              <w:rPr>
                <w:sz w:val="22"/>
                <w:szCs w:val="22"/>
              </w:rPr>
              <w:t xml:space="preserve"> </w:t>
            </w:r>
            <w:r w:rsidR="007807BB">
              <w:rPr>
                <w:sz w:val="22"/>
                <w:szCs w:val="22"/>
              </w:rPr>
              <w:t xml:space="preserve">denied </w:t>
            </w:r>
            <w:r w:rsidR="002821FD">
              <w:rPr>
                <w:sz w:val="22"/>
                <w:szCs w:val="22"/>
              </w:rPr>
              <w:t>China Mobile USA’s application to provide telecommunications services between the United States and foreign destinations</w:t>
            </w:r>
            <w:r w:rsidR="000E18D9">
              <w:rPr>
                <w:sz w:val="22"/>
                <w:szCs w:val="22"/>
              </w:rPr>
              <w:t>.</w:t>
            </w:r>
            <w:r w:rsidR="001D509D">
              <w:rPr>
                <w:sz w:val="22"/>
                <w:szCs w:val="22"/>
              </w:rPr>
              <w:t xml:space="preserve">  </w:t>
            </w:r>
            <w:r>
              <w:rPr>
                <w:sz w:val="22"/>
                <w:szCs w:val="22"/>
              </w:rPr>
              <w:t>Promoting secur</w:t>
            </w:r>
            <w:r w:rsidR="00A228FD">
              <w:rPr>
                <w:sz w:val="22"/>
                <w:szCs w:val="22"/>
              </w:rPr>
              <w:t>e</w:t>
            </w:r>
            <w:r>
              <w:rPr>
                <w:sz w:val="22"/>
                <w:szCs w:val="22"/>
              </w:rPr>
              <w:t xml:space="preserve"> communications is a long-standing FCC priority</w:t>
            </w:r>
            <w:r w:rsidR="001D509D">
              <w:rPr>
                <w:sz w:val="22"/>
                <w:szCs w:val="22"/>
              </w:rPr>
              <w:t xml:space="preserve">.  Today’s </w:t>
            </w:r>
            <w:r>
              <w:rPr>
                <w:sz w:val="22"/>
                <w:szCs w:val="22"/>
              </w:rPr>
              <w:t xml:space="preserve">action is the result of a careful review by the Commission </w:t>
            </w:r>
            <w:r w:rsidR="00997B51">
              <w:rPr>
                <w:sz w:val="22"/>
                <w:szCs w:val="22"/>
              </w:rPr>
              <w:t xml:space="preserve">and </w:t>
            </w:r>
            <w:r w:rsidR="001D509D">
              <w:rPr>
                <w:sz w:val="22"/>
                <w:szCs w:val="22"/>
              </w:rPr>
              <w:t xml:space="preserve">close consultation with </w:t>
            </w:r>
            <w:r w:rsidRPr="00A228FD" w:rsidR="00A228FD">
              <w:rPr>
                <w:sz w:val="22"/>
                <w:szCs w:val="22"/>
              </w:rPr>
              <w:t>Executive Branch agencies having expertise in national security and law enforcement.</w:t>
            </w:r>
          </w:p>
          <w:p w:rsidR="00D86CC2" w:rsidP="00D86CC2" w14:paraId="55A6FBFC" w14:textId="77777777">
            <w:pPr>
              <w:tabs>
                <w:tab w:val="left" w:pos="8640"/>
              </w:tabs>
              <w:rPr>
                <w:sz w:val="22"/>
                <w:szCs w:val="22"/>
              </w:rPr>
            </w:pPr>
          </w:p>
          <w:p w:rsidR="00D86CC2" w:rsidP="00D86CC2" w14:paraId="55A6FBFD" w14:textId="621AE0E4">
            <w:pPr>
              <w:tabs>
                <w:tab w:val="left" w:pos="8640"/>
              </w:tabs>
              <w:rPr>
                <w:sz w:val="22"/>
                <w:szCs w:val="22"/>
              </w:rPr>
            </w:pPr>
            <w:r>
              <w:rPr>
                <w:sz w:val="22"/>
                <w:szCs w:val="22"/>
              </w:rPr>
              <w:t>In t</w:t>
            </w:r>
            <w:r>
              <w:rPr>
                <w:sz w:val="22"/>
                <w:szCs w:val="22"/>
              </w:rPr>
              <w:t xml:space="preserve">he Memorandum Opinion and Order adopted by the Commission </w:t>
            </w:r>
            <w:r>
              <w:rPr>
                <w:sz w:val="22"/>
                <w:szCs w:val="22"/>
              </w:rPr>
              <w:t xml:space="preserve">today, </w:t>
            </w:r>
            <w:r w:rsidR="00AD6848">
              <w:rPr>
                <w:sz w:val="22"/>
                <w:szCs w:val="22"/>
              </w:rPr>
              <w:t xml:space="preserve">the FCC </w:t>
            </w:r>
            <w:r>
              <w:rPr>
                <w:sz w:val="22"/>
                <w:szCs w:val="22"/>
              </w:rPr>
              <w:t xml:space="preserve">finds that China Mobile USA has not demonstrated that its application for </w:t>
            </w:r>
            <w:r w:rsidR="00997B51">
              <w:rPr>
                <w:sz w:val="22"/>
                <w:szCs w:val="22"/>
              </w:rPr>
              <w:t xml:space="preserve">the </w:t>
            </w:r>
            <w:r>
              <w:rPr>
                <w:sz w:val="22"/>
                <w:szCs w:val="22"/>
              </w:rPr>
              <w:t>authority</w:t>
            </w:r>
            <w:r w:rsidR="00997B51">
              <w:rPr>
                <w:sz w:val="22"/>
                <w:szCs w:val="22"/>
              </w:rPr>
              <w:t xml:space="preserve"> to provide international telecommunications services</w:t>
            </w:r>
            <w:r>
              <w:rPr>
                <w:sz w:val="22"/>
                <w:szCs w:val="22"/>
              </w:rPr>
              <w:t xml:space="preserve"> is in the public interest.  </w:t>
            </w:r>
            <w:r w:rsidR="00AD6848">
              <w:rPr>
                <w:sz w:val="22"/>
                <w:szCs w:val="22"/>
              </w:rPr>
              <w:t>Specifically, a</w:t>
            </w:r>
            <w:r w:rsidRPr="005601B2">
              <w:rPr>
                <w:sz w:val="22"/>
                <w:szCs w:val="22"/>
              </w:rPr>
              <w:t xml:space="preserve">fter </w:t>
            </w:r>
            <w:r w:rsidR="00AC3BF3">
              <w:rPr>
                <w:sz w:val="22"/>
                <w:szCs w:val="22"/>
              </w:rPr>
              <w:t>an extensive</w:t>
            </w:r>
            <w:r w:rsidRPr="005601B2" w:rsidR="00AC3BF3">
              <w:rPr>
                <w:sz w:val="22"/>
                <w:szCs w:val="22"/>
              </w:rPr>
              <w:t xml:space="preserve"> </w:t>
            </w:r>
            <w:r w:rsidRPr="005601B2">
              <w:rPr>
                <w:sz w:val="22"/>
                <w:szCs w:val="22"/>
              </w:rPr>
              <w:t>review of the record in this proceeding</w:t>
            </w:r>
            <w:r>
              <w:rPr>
                <w:sz w:val="22"/>
                <w:szCs w:val="22"/>
              </w:rPr>
              <w:t>,</w:t>
            </w:r>
            <w:r w:rsidRPr="005601B2">
              <w:rPr>
                <w:sz w:val="22"/>
                <w:szCs w:val="22"/>
              </w:rPr>
              <w:t xml:space="preserve"> the </w:t>
            </w:r>
            <w:r>
              <w:rPr>
                <w:sz w:val="22"/>
                <w:szCs w:val="22"/>
              </w:rPr>
              <w:t xml:space="preserve">Commission finds </w:t>
            </w:r>
            <w:r w:rsidRPr="005601B2">
              <w:rPr>
                <w:sz w:val="22"/>
                <w:szCs w:val="22"/>
              </w:rPr>
              <w:t>that due to several factors related to China Mobile USA’s ownership and control by the Chinese government, grant of the application would raise substantial and serious national security and law enforcement risks that cannot be addressed through a mitigation agreement</w:t>
            </w:r>
            <w:r w:rsidR="00AD6848">
              <w:rPr>
                <w:sz w:val="22"/>
                <w:szCs w:val="22"/>
              </w:rPr>
              <w:t xml:space="preserve"> between China Mobile and the federal government</w:t>
            </w:r>
            <w:r w:rsidRPr="005601B2">
              <w:rPr>
                <w:sz w:val="22"/>
                <w:szCs w:val="22"/>
              </w:rPr>
              <w:t>.</w:t>
            </w:r>
            <w:r>
              <w:rPr>
                <w:sz w:val="22"/>
                <w:szCs w:val="22"/>
              </w:rPr>
              <w:t xml:space="preserve">  </w:t>
            </w:r>
          </w:p>
          <w:p w:rsidR="00D86CC2" w:rsidP="00AD4A53" w14:paraId="55A6FBFE" w14:textId="77777777">
            <w:pPr>
              <w:tabs>
                <w:tab w:val="left" w:pos="8640"/>
              </w:tabs>
              <w:rPr>
                <w:sz w:val="22"/>
                <w:szCs w:val="22"/>
              </w:rPr>
            </w:pPr>
          </w:p>
          <w:p w:rsidR="00D86CC2" w:rsidP="00AD4A53" w14:paraId="55A6FBFF" w14:textId="77777777">
            <w:pPr>
              <w:tabs>
                <w:tab w:val="left" w:pos="8640"/>
              </w:tabs>
              <w:rPr>
                <w:sz w:val="22"/>
                <w:szCs w:val="22"/>
              </w:rPr>
            </w:pPr>
            <w:r w:rsidRPr="00D305D9">
              <w:rPr>
                <w:sz w:val="22"/>
                <w:szCs w:val="22"/>
              </w:rPr>
              <w:t xml:space="preserve">China Mobile USA is a Delaware corporation that is ultimately owned and controlled by the </w:t>
            </w:r>
            <w:r w:rsidR="001943AE">
              <w:rPr>
                <w:sz w:val="22"/>
                <w:szCs w:val="22"/>
              </w:rPr>
              <w:t>People’s Republic of China</w:t>
            </w:r>
            <w:r w:rsidRPr="00D305D9">
              <w:rPr>
                <w:sz w:val="22"/>
                <w:szCs w:val="22"/>
              </w:rPr>
              <w:t xml:space="preserve">.  </w:t>
            </w:r>
            <w:r>
              <w:rPr>
                <w:sz w:val="22"/>
                <w:szCs w:val="22"/>
              </w:rPr>
              <w:t>In</w:t>
            </w:r>
            <w:r w:rsidR="005601B2">
              <w:rPr>
                <w:sz w:val="22"/>
                <w:szCs w:val="22"/>
              </w:rPr>
              <w:t xml:space="preserve"> </w:t>
            </w:r>
            <w:r w:rsidRPr="00D305D9" w:rsidR="005601B2">
              <w:rPr>
                <w:sz w:val="22"/>
                <w:szCs w:val="22"/>
              </w:rPr>
              <w:t xml:space="preserve">2011, </w:t>
            </w:r>
            <w:r w:rsidRPr="00D305D9">
              <w:rPr>
                <w:sz w:val="22"/>
                <w:szCs w:val="22"/>
              </w:rPr>
              <w:t xml:space="preserve">China Mobile USA filed an application requesting authority under </w:t>
            </w:r>
            <w:r w:rsidR="001943AE">
              <w:rPr>
                <w:sz w:val="22"/>
                <w:szCs w:val="22"/>
              </w:rPr>
              <w:t>S</w:t>
            </w:r>
            <w:r w:rsidRPr="00D305D9" w:rsidR="001943AE">
              <w:rPr>
                <w:sz w:val="22"/>
                <w:szCs w:val="22"/>
              </w:rPr>
              <w:t xml:space="preserve">ection </w:t>
            </w:r>
            <w:r w:rsidRPr="00D305D9">
              <w:rPr>
                <w:sz w:val="22"/>
                <w:szCs w:val="22"/>
              </w:rPr>
              <w:t xml:space="preserve">214 of the </w:t>
            </w:r>
            <w:r>
              <w:rPr>
                <w:sz w:val="22"/>
                <w:szCs w:val="22"/>
              </w:rPr>
              <w:t xml:space="preserve">Communications </w:t>
            </w:r>
            <w:r w:rsidRPr="00D305D9">
              <w:rPr>
                <w:sz w:val="22"/>
                <w:szCs w:val="22"/>
              </w:rPr>
              <w:t xml:space="preserve">Act and </w:t>
            </w:r>
            <w:r w:rsidR="005601B2">
              <w:rPr>
                <w:sz w:val="22"/>
                <w:szCs w:val="22"/>
              </w:rPr>
              <w:t>s</w:t>
            </w:r>
            <w:r w:rsidRPr="00D305D9">
              <w:rPr>
                <w:sz w:val="22"/>
                <w:szCs w:val="22"/>
              </w:rPr>
              <w:t xml:space="preserve">ection 63.18 of the Commission’s rules to provide international facilities-based and resale services between the </w:t>
            </w:r>
            <w:r w:rsidR="00F9105F">
              <w:rPr>
                <w:sz w:val="22"/>
                <w:szCs w:val="22"/>
              </w:rPr>
              <w:t>United States</w:t>
            </w:r>
            <w:r w:rsidRPr="00D305D9">
              <w:rPr>
                <w:sz w:val="22"/>
                <w:szCs w:val="22"/>
              </w:rPr>
              <w:t xml:space="preserve"> and foreign destinations.  </w:t>
            </w:r>
          </w:p>
          <w:p w:rsidR="00D86CC2" w:rsidP="00AD4A53" w14:paraId="55A6FC00" w14:textId="77777777">
            <w:pPr>
              <w:tabs>
                <w:tab w:val="left" w:pos="8640"/>
              </w:tabs>
              <w:rPr>
                <w:sz w:val="22"/>
                <w:szCs w:val="22"/>
              </w:rPr>
            </w:pPr>
          </w:p>
          <w:p w:rsidR="00D86CC2" w:rsidP="00AD4A53" w14:paraId="55A6FC01" w14:textId="784EF79F">
            <w:pPr>
              <w:tabs>
                <w:tab w:val="left" w:pos="8640"/>
              </w:tabs>
              <w:rPr>
                <w:sz w:val="22"/>
                <w:szCs w:val="22"/>
              </w:rPr>
            </w:pPr>
            <w:r>
              <w:rPr>
                <w:sz w:val="22"/>
                <w:szCs w:val="22"/>
              </w:rPr>
              <w:t>In 2018</w:t>
            </w:r>
            <w:r w:rsidRPr="00D305D9" w:rsidR="00D305D9">
              <w:rPr>
                <w:sz w:val="22"/>
                <w:szCs w:val="22"/>
              </w:rPr>
              <w:t xml:space="preserve">, after a lengthy review of the application, discussions with the applicant, and consultation with the U.S. intelligence community, </w:t>
            </w:r>
            <w:r>
              <w:rPr>
                <w:sz w:val="22"/>
                <w:szCs w:val="22"/>
              </w:rPr>
              <w:t xml:space="preserve">the U.S. Department of Commerce’s </w:t>
            </w:r>
            <w:r w:rsidR="006D5A42">
              <w:rPr>
                <w:sz w:val="22"/>
                <w:szCs w:val="22"/>
              </w:rPr>
              <w:t>NTIA filed a recommendation</w:t>
            </w:r>
            <w:r w:rsidR="001943AE">
              <w:rPr>
                <w:sz w:val="22"/>
                <w:szCs w:val="22"/>
              </w:rPr>
              <w:t xml:space="preserve"> on behalf of Executive Branch agencies</w:t>
            </w:r>
            <w:r w:rsidR="006D5A42">
              <w:rPr>
                <w:sz w:val="22"/>
                <w:szCs w:val="22"/>
              </w:rPr>
              <w:t xml:space="preserve"> to deny China Mobile USA’s application</w:t>
            </w:r>
            <w:r w:rsidRPr="001943AE" w:rsidR="001943AE">
              <w:rPr>
                <w:sz w:val="22"/>
                <w:szCs w:val="22"/>
              </w:rPr>
              <w:t xml:space="preserve">. </w:t>
            </w:r>
            <w:r w:rsidR="001943AE">
              <w:rPr>
                <w:sz w:val="22"/>
                <w:szCs w:val="22"/>
              </w:rPr>
              <w:t xml:space="preserve"> </w:t>
            </w:r>
            <w:r w:rsidRPr="001943AE" w:rsidR="001943AE">
              <w:rPr>
                <w:sz w:val="22"/>
                <w:szCs w:val="22"/>
              </w:rPr>
              <w:t>This is the first instance in which Executive Branch agencies have recommended that the FCC deny a</w:t>
            </w:r>
            <w:r w:rsidR="002D0986">
              <w:rPr>
                <w:sz w:val="22"/>
                <w:szCs w:val="22"/>
              </w:rPr>
              <w:t xml:space="preserve"> section 214</w:t>
            </w:r>
            <w:r w:rsidRPr="001943AE" w:rsidR="001943AE">
              <w:rPr>
                <w:sz w:val="22"/>
                <w:szCs w:val="22"/>
              </w:rPr>
              <w:t xml:space="preserve"> application due to national security and law enforcement concerns. </w:t>
            </w:r>
          </w:p>
          <w:p w:rsidR="00AD4A53" w14:paraId="55A6FC02" w14:textId="77777777">
            <w:pPr>
              <w:tabs>
                <w:tab w:val="left" w:pos="8640"/>
              </w:tabs>
              <w:rPr>
                <w:sz w:val="22"/>
                <w:szCs w:val="22"/>
              </w:rPr>
            </w:pPr>
          </w:p>
          <w:p w:rsidR="004A1A1B" w:rsidRPr="004A1A1B" w:rsidP="004A1A1B" w14:paraId="794B0C4F" w14:textId="65174602">
            <w:pPr>
              <w:rPr>
                <w:rStyle w:val="Hyperlink"/>
                <w:color w:val="auto"/>
                <w:sz w:val="22"/>
                <w:szCs w:val="22"/>
                <w:u w:val="none"/>
              </w:rPr>
            </w:pPr>
            <w:r w:rsidRPr="004A1A1B">
              <w:rPr>
                <w:rStyle w:val="Hyperlink"/>
                <w:color w:val="auto"/>
                <w:sz w:val="22"/>
                <w:szCs w:val="22"/>
                <w:u w:val="none"/>
              </w:rPr>
              <w:t xml:space="preserve">Action by the Commission May </w:t>
            </w:r>
            <w:r>
              <w:rPr>
                <w:rStyle w:val="Hyperlink"/>
                <w:color w:val="auto"/>
                <w:sz w:val="22"/>
                <w:szCs w:val="22"/>
                <w:u w:val="none"/>
              </w:rPr>
              <w:t>9</w:t>
            </w:r>
            <w:r w:rsidRPr="004A1A1B">
              <w:rPr>
                <w:rStyle w:val="Hyperlink"/>
                <w:color w:val="auto"/>
                <w:sz w:val="22"/>
                <w:szCs w:val="22"/>
                <w:u w:val="none"/>
              </w:rPr>
              <w:t>, 2019 by Memorandum Opinion and Order (FCC 19-38).  Chairman Pai, Commissioners O’Rielly, Carr, Rosenworcel, and Starks approving</w:t>
            </w:r>
            <w:r>
              <w:rPr>
                <w:rStyle w:val="Hyperlink"/>
                <w:color w:val="auto"/>
                <w:sz w:val="22"/>
                <w:szCs w:val="22"/>
                <w:u w:val="none"/>
              </w:rPr>
              <w:t xml:space="preserve"> and</w:t>
            </w:r>
            <w:r w:rsidRPr="004A1A1B">
              <w:rPr>
                <w:rStyle w:val="Hyperlink"/>
                <w:color w:val="auto"/>
                <w:sz w:val="22"/>
                <w:szCs w:val="22"/>
                <w:u w:val="none"/>
              </w:rPr>
              <w:t xml:space="preserve"> issuing separate statements.</w:t>
            </w:r>
          </w:p>
          <w:p w:rsidR="004A1A1B" w:rsidRPr="004A1A1B" w:rsidP="004A1A1B" w14:paraId="4F243094" w14:textId="77777777">
            <w:pPr>
              <w:rPr>
                <w:rStyle w:val="Hyperlink"/>
                <w:color w:val="auto"/>
                <w:sz w:val="22"/>
                <w:szCs w:val="22"/>
                <w:u w:val="none"/>
              </w:rPr>
            </w:pPr>
          </w:p>
          <w:p w:rsidR="009D35B3" w:rsidP="009D35B3" w14:paraId="55A6FC05" w14:textId="77777777">
            <w:pPr>
              <w:rPr>
                <w:rStyle w:val="Hyperlink"/>
                <w:color w:val="auto"/>
                <w:sz w:val="22"/>
                <w:szCs w:val="22"/>
                <w:u w:val="none"/>
              </w:rPr>
            </w:pPr>
            <w:r>
              <w:rPr>
                <w:rStyle w:val="Hyperlink"/>
                <w:color w:val="auto"/>
                <w:sz w:val="22"/>
                <w:szCs w:val="22"/>
                <w:u w:val="none"/>
              </w:rPr>
              <w:t>ITC-214-20110901-00289</w:t>
            </w:r>
          </w:p>
          <w:p w:rsidR="009D35B3" w:rsidRPr="007475A1" w:rsidP="009D35B3" w14:paraId="55A6FC06" w14:textId="77777777">
            <w:pPr>
              <w:rPr>
                <w:rStyle w:val="Hyperlink"/>
                <w:color w:val="auto"/>
                <w:sz w:val="22"/>
                <w:szCs w:val="22"/>
                <w:u w:val="none"/>
              </w:rPr>
            </w:pPr>
          </w:p>
          <w:p w:rsidR="004F0F1F" w:rsidRPr="007475A1" w:rsidP="00850E26" w14:paraId="55A6FC07" w14:textId="77777777">
            <w:pPr>
              <w:ind w:right="72"/>
              <w:jc w:val="center"/>
              <w:rPr>
                <w:sz w:val="22"/>
                <w:szCs w:val="22"/>
              </w:rPr>
            </w:pPr>
            <w:r w:rsidRPr="007475A1">
              <w:rPr>
                <w:sz w:val="22"/>
                <w:szCs w:val="22"/>
              </w:rPr>
              <w:t>###</w:t>
            </w:r>
          </w:p>
          <w:p w:rsidR="00CC5E08" w:rsidRPr="0080486B" w:rsidP="00850E26" w14:paraId="55A6FC0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5A6FC09" w14:textId="77777777">
            <w:pPr>
              <w:ind w:right="72"/>
              <w:jc w:val="center"/>
              <w:rPr>
                <w:b/>
                <w:bCs/>
                <w:sz w:val="18"/>
                <w:szCs w:val="18"/>
              </w:rPr>
            </w:pPr>
          </w:p>
          <w:p w:rsidR="00EE0E90" w:rsidRPr="00EF729B" w:rsidP="00850E26" w14:paraId="55A6FC0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A6FC0C" w14:textId="77777777">
      <w:pPr>
        <w:rPr>
          <w:b/>
          <w:bCs/>
          <w:sz w:val="2"/>
          <w:szCs w:val="2"/>
        </w:rPr>
      </w:pPr>
    </w:p>
    <w:sectPr w:rsidSect="00162354">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7070C5C"/>
    <w:multiLevelType w:val="hybridMultilevel"/>
    <w:tmpl w:val="BB1EF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D"/>
    <w:rsid w:val="0002500C"/>
    <w:rsid w:val="000311FC"/>
    <w:rsid w:val="00040127"/>
    <w:rsid w:val="00065E2D"/>
    <w:rsid w:val="0006725E"/>
    <w:rsid w:val="00081232"/>
    <w:rsid w:val="000872B0"/>
    <w:rsid w:val="00091E65"/>
    <w:rsid w:val="00096D4A"/>
    <w:rsid w:val="000A2A84"/>
    <w:rsid w:val="000A38EA"/>
    <w:rsid w:val="000C1E47"/>
    <w:rsid w:val="000C26F3"/>
    <w:rsid w:val="000E049E"/>
    <w:rsid w:val="000E18D9"/>
    <w:rsid w:val="000E4587"/>
    <w:rsid w:val="0010799B"/>
    <w:rsid w:val="00117DB2"/>
    <w:rsid w:val="00123ED2"/>
    <w:rsid w:val="00125BE0"/>
    <w:rsid w:val="00134F5B"/>
    <w:rsid w:val="00142C13"/>
    <w:rsid w:val="00152776"/>
    <w:rsid w:val="00153222"/>
    <w:rsid w:val="001577D3"/>
    <w:rsid w:val="00162354"/>
    <w:rsid w:val="001733A6"/>
    <w:rsid w:val="0018547A"/>
    <w:rsid w:val="001865A9"/>
    <w:rsid w:val="00187DB2"/>
    <w:rsid w:val="001943AE"/>
    <w:rsid w:val="001B20BB"/>
    <w:rsid w:val="001C4370"/>
    <w:rsid w:val="001D3779"/>
    <w:rsid w:val="001D3F45"/>
    <w:rsid w:val="001D509D"/>
    <w:rsid w:val="001F03E5"/>
    <w:rsid w:val="001F0469"/>
    <w:rsid w:val="00203A98"/>
    <w:rsid w:val="00206EDD"/>
    <w:rsid w:val="0021247E"/>
    <w:rsid w:val="002146F6"/>
    <w:rsid w:val="00223BDC"/>
    <w:rsid w:val="00231C32"/>
    <w:rsid w:val="00240345"/>
    <w:rsid w:val="002421F0"/>
    <w:rsid w:val="00247274"/>
    <w:rsid w:val="00265136"/>
    <w:rsid w:val="00266966"/>
    <w:rsid w:val="002821FD"/>
    <w:rsid w:val="00285C36"/>
    <w:rsid w:val="00294C0C"/>
    <w:rsid w:val="002A0934"/>
    <w:rsid w:val="002B1013"/>
    <w:rsid w:val="002D03E5"/>
    <w:rsid w:val="002D0986"/>
    <w:rsid w:val="002E3F1D"/>
    <w:rsid w:val="002F31D0"/>
    <w:rsid w:val="00300359"/>
    <w:rsid w:val="0031773E"/>
    <w:rsid w:val="00333871"/>
    <w:rsid w:val="00347716"/>
    <w:rsid w:val="003506E1"/>
    <w:rsid w:val="00351263"/>
    <w:rsid w:val="003727E3"/>
    <w:rsid w:val="00385A93"/>
    <w:rsid w:val="003910F1"/>
    <w:rsid w:val="00392B93"/>
    <w:rsid w:val="003C5417"/>
    <w:rsid w:val="003E42FC"/>
    <w:rsid w:val="003E5991"/>
    <w:rsid w:val="003F344A"/>
    <w:rsid w:val="00403FF0"/>
    <w:rsid w:val="004052E7"/>
    <w:rsid w:val="0042046D"/>
    <w:rsid w:val="0042116E"/>
    <w:rsid w:val="00425AEF"/>
    <w:rsid w:val="00426518"/>
    <w:rsid w:val="00427B06"/>
    <w:rsid w:val="00441F59"/>
    <w:rsid w:val="00444E07"/>
    <w:rsid w:val="00444FA9"/>
    <w:rsid w:val="00473E9C"/>
    <w:rsid w:val="00480099"/>
    <w:rsid w:val="004941A2"/>
    <w:rsid w:val="00497858"/>
    <w:rsid w:val="004A1A1B"/>
    <w:rsid w:val="004A729A"/>
    <w:rsid w:val="004B4FEA"/>
    <w:rsid w:val="004C0ADA"/>
    <w:rsid w:val="004C433E"/>
    <w:rsid w:val="004C4512"/>
    <w:rsid w:val="004C4F36"/>
    <w:rsid w:val="004D3D85"/>
    <w:rsid w:val="004E2BD8"/>
    <w:rsid w:val="004F0F1F"/>
    <w:rsid w:val="005022AA"/>
    <w:rsid w:val="00504845"/>
    <w:rsid w:val="0050757F"/>
    <w:rsid w:val="00516AD2"/>
    <w:rsid w:val="005248DA"/>
    <w:rsid w:val="005417E2"/>
    <w:rsid w:val="00545DAE"/>
    <w:rsid w:val="005524AD"/>
    <w:rsid w:val="005601B2"/>
    <w:rsid w:val="00571B83"/>
    <w:rsid w:val="00575A00"/>
    <w:rsid w:val="0058673C"/>
    <w:rsid w:val="005924F2"/>
    <w:rsid w:val="00592B5E"/>
    <w:rsid w:val="005A7972"/>
    <w:rsid w:val="005B17E7"/>
    <w:rsid w:val="005B2643"/>
    <w:rsid w:val="005B286A"/>
    <w:rsid w:val="005B625A"/>
    <w:rsid w:val="005D17FD"/>
    <w:rsid w:val="005F0D55"/>
    <w:rsid w:val="005F183E"/>
    <w:rsid w:val="00600DDA"/>
    <w:rsid w:val="00604211"/>
    <w:rsid w:val="00613498"/>
    <w:rsid w:val="00617B94"/>
    <w:rsid w:val="00620285"/>
    <w:rsid w:val="00620BED"/>
    <w:rsid w:val="00627F2C"/>
    <w:rsid w:val="00634348"/>
    <w:rsid w:val="006415B4"/>
    <w:rsid w:val="00641690"/>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6C2"/>
    <w:rsid w:val="006C33AF"/>
    <w:rsid w:val="006D5A42"/>
    <w:rsid w:val="006D5D22"/>
    <w:rsid w:val="006E0324"/>
    <w:rsid w:val="006E4A76"/>
    <w:rsid w:val="006F1DBD"/>
    <w:rsid w:val="00700556"/>
    <w:rsid w:val="0070589A"/>
    <w:rsid w:val="007167DD"/>
    <w:rsid w:val="0072478B"/>
    <w:rsid w:val="00732DFD"/>
    <w:rsid w:val="0073414D"/>
    <w:rsid w:val="00742385"/>
    <w:rsid w:val="007475A1"/>
    <w:rsid w:val="0075235E"/>
    <w:rsid w:val="007528A5"/>
    <w:rsid w:val="007732CC"/>
    <w:rsid w:val="00774079"/>
    <w:rsid w:val="0077752B"/>
    <w:rsid w:val="007807BB"/>
    <w:rsid w:val="00793D6F"/>
    <w:rsid w:val="00794090"/>
    <w:rsid w:val="007A44F8"/>
    <w:rsid w:val="007D21BF"/>
    <w:rsid w:val="007D6F7F"/>
    <w:rsid w:val="007F3C12"/>
    <w:rsid w:val="007F5205"/>
    <w:rsid w:val="0080486B"/>
    <w:rsid w:val="008215E7"/>
    <w:rsid w:val="00824D79"/>
    <w:rsid w:val="00830FC6"/>
    <w:rsid w:val="00850E26"/>
    <w:rsid w:val="00865EAA"/>
    <w:rsid w:val="00866F06"/>
    <w:rsid w:val="008728F5"/>
    <w:rsid w:val="008824C2"/>
    <w:rsid w:val="00890550"/>
    <w:rsid w:val="008960E4"/>
    <w:rsid w:val="008A3940"/>
    <w:rsid w:val="008B13C9"/>
    <w:rsid w:val="008C248C"/>
    <w:rsid w:val="008C5432"/>
    <w:rsid w:val="008C7BF1"/>
    <w:rsid w:val="008D00D6"/>
    <w:rsid w:val="008D4D00"/>
    <w:rsid w:val="008D4E5E"/>
    <w:rsid w:val="008D7ABD"/>
    <w:rsid w:val="008E55A2"/>
    <w:rsid w:val="008F1609"/>
    <w:rsid w:val="008F78D8"/>
    <w:rsid w:val="00904A8E"/>
    <w:rsid w:val="0093373C"/>
    <w:rsid w:val="00961620"/>
    <w:rsid w:val="0096313A"/>
    <w:rsid w:val="009734B6"/>
    <w:rsid w:val="0098096F"/>
    <w:rsid w:val="0098437A"/>
    <w:rsid w:val="00986C92"/>
    <w:rsid w:val="00993C47"/>
    <w:rsid w:val="009972BC"/>
    <w:rsid w:val="00997B51"/>
    <w:rsid w:val="009B4B16"/>
    <w:rsid w:val="009C6E70"/>
    <w:rsid w:val="009D35B3"/>
    <w:rsid w:val="009E54A1"/>
    <w:rsid w:val="009F4E25"/>
    <w:rsid w:val="009F5B1F"/>
    <w:rsid w:val="00A225A9"/>
    <w:rsid w:val="00A228FD"/>
    <w:rsid w:val="00A3308E"/>
    <w:rsid w:val="00A35DFD"/>
    <w:rsid w:val="00A6112D"/>
    <w:rsid w:val="00A702DF"/>
    <w:rsid w:val="00A775A3"/>
    <w:rsid w:val="00A81700"/>
    <w:rsid w:val="00A81B5B"/>
    <w:rsid w:val="00A82FAD"/>
    <w:rsid w:val="00A9673A"/>
    <w:rsid w:val="00A96EF2"/>
    <w:rsid w:val="00AA5C35"/>
    <w:rsid w:val="00AA5ED9"/>
    <w:rsid w:val="00AC0A38"/>
    <w:rsid w:val="00AC3BF3"/>
    <w:rsid w:val="00AC4E0E"/>
    <w:rsid w:val="00AC517B"/>
    <w:rsid w:val="00AD0D19"/>
    <w:rsid w:val="00AD4A53"/>
    <w:rsid w:val="00AD6848"/>
    <w:rsid w:val="00AE4705"/>
    <w:rsid w:val="00AF051B"/>
    <w:rsid w:val="00AF17C7"/>
    <w:rsid w:val="00B00303"/>
    <w:rsid w:val="00B037A2"/>
    <w:rsid w:val="00B14DB3"/>
    <w:rsid w:val="00B31870"/>
    <w:rsid w:val="00B320B8"/>
    <w:rsid w:val="00B35EE2"/>
    <w:rsid w:val="00B36DEF"/>
    <w:rsid w:val="00B44B9D"/>
    <w:rsid w:val="00B456B6"/>
    <w:rsid w:val="00B57131"/>
    <w:rsid w:val="00B62F2C"/>
    <w:rsid w:val="00B727C9"/>
    <w:rsid w:val="00B735C8"/>
    <w:rsid w:val="00B76A63"/>
    <w:rsid w:val="00BA406D"/>
    <w:rsid w:val="00BA6350"/>
    <w:rsid w:val="00BB4E29"/>
    <w:rsid w:val="00BB74C9"/>
    <w:rsid w:val="00BC3AB6"/>
    <w:rsid w:val="00BC59C5"/>
    <w:rsid w:val="00BD19E8"/>
    <w:rsid w:val="00BD4273"/>
    <w:rsid w:val="00C066A6"/>
    <w:rsid w:val="00C31ED8"/>
    <w:rsid w:val="00C35BA2"/>
    <w:rsid w:val="00C35D57"/>
    <w:rsid w:val="00C432E4"/>
    <w:rsid w:val="00C70C26"/>
    <w:rsid w:val="00C70F8C"/>
    <w:rsid w:val="00C72001"/>
    <w:rsid w:val="00C772B7"/>
    <w:rsid w:val="00C80347"/>
    <w:rsid w:val="00C82690"/>
    <w:rsid w:val="00CB7C1A"/>
    <w:rsid w:val="00CC5E08"/>
    <w:rsid w:val="00CD5EBA"/>
    <w:rsid w:val="00CE14FD"/>
    <w:rsid w:val="00CE1526"/>
    <w:rsid w:val="00CF6860"/>
    <w:rsid w:val="00D01A8B"/>
    <w:rsid w:val="00D02AC6"/>
    <w:rsid w:val="00D03F0C"/>
    <w:rsid w:val="00D04312"/>
    <w:rsid w:val="00D16A7F"/>
    <w:rsid w:val="00D16AD2"/>
    <w:rsid w:val="00D22596"/>
    <w:rsid w:val="00D22691"/>
    <w:rsid w:val="00D228B3"/>
    <w:rsid w:val="00D24C3D"/>
    <w:rsid w:val="00D305D9"/>
    <w:rsid w:val="00D46CB1"/>
    <w:rsid w:val="00D723F0"/>
    <w:rsid w:val="00D8133F"/>
    <w:rsid w:val="00D861EE"/>
    <w:rsid w:val="00D86CC2"/>
    <w:rsid w:val="00D95B05"/>
    <w:rsid w:val="00D97E2D"/>
    <w:rsid w:val="00DA103D"/>
    <w:rsid w:val="00DA1628"/>
    <w:rsid w:val="00DA45D3"/>
    <w:rsid w:val="00DA4772"/>
    <w:rsid w:val="00DA674E"/>
    <w:rsid w:val="00DA7B44"/>
    <w:rsid w:val="00DB2667"/>
    <w:rsid w:val="00DB67B7"/>
    <w:rsid w:val="00DC15A9"/>
    <w:rsid w:val="00DC40AA"/>
    <w:rsid w:val="00DD1750"/>
    <w:rsid w:val="00E349AA"/>
    <w:rsid w:val="00E41390"/>
    <w:rsid w:val="00E41CA0"/>
    <w:rsid w:val="00E4366B"/>
    <w:rsid w:val="00E50A4A"/>
    <w:rsid w:val="00E606DE"/>
    <w:rsid w:val="00E644FE"/>
    <w:rsid w:val="00E70FC0"/>
    <w:rsid w:val="00E72733"/>
    <w:rsid w:val="00E742FA"/>
    <w:rsid w:val="00E7616A"/>
    <w:rsid w:val="00E76816"/>
    <w:rsid w:val="00E83DBF"/>
    <w:rsid w:val="00E87C13"/>
    <w:rsid w:val="00E94CD9"/>
    <w:rsid w:val="00EA1A76"/>
    <w:rsid w:val="00EA290B"/>
    <w:rsid w:val="00EE0E90"/>
    <w:rsid w:val="00EE17EF"/>
    <w:rsid w:val="00EF3BCA"/>
    <w:rsid w:val="00EF729B"/>
    <w:rsid w:val="00F01B0D"/>
    <w:rsid w:val="00F1238F"/>
    <w:rsid w:val="00F16485"/>
    <w:rsid w:val="00F228ED"/>
    <w:rsid w:val="00F26E31"/>
    <w:rsid w:val="00F27C6C"/>
    <w:rsid w:val="00F34A8D"/>
    <w:rsid w:val="00F42030"/>
    <w:rsid w:val="00F50D25"/>
    <w:rsid w:val="00F530DC"/>
    <w:rsid w:val="00F535D8"/>
    <w:rsid w:val="00F61155"/>
    <w:rsid w:val="00F621FD"/>
    <w:rsid w:val="00F708E3"/>
    <w:rsid w:val="00F76561"/>
    <w:rsid w:val="00F84736"/>
    <w:rsid w:val="00F9105F"/>
    <w:rsid w:val="00F923C8"/>
    <w:rsid w:val="00FB6531"/>
    <w:rsid w:val="00FC6C29"/>
    <w:rsid w:val="00FD58E0"/>
    <w:rsid w:val="00FD6819"/>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2AECDA5-5886-4F24-9D5C-2747F2C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NoSpacing">
    <w:name w:val="No Spacing"/>
    <w:uiPriority w:val="1"/>
    <w:qFormat/>
    <w:rsid w:val="009C6E70"/>
    <w:rPr>
      <w:rFonts w:asciiTheme="minorHAnsi" w:eastAsiaTheme="minorHAnsi" w:hAnsiTheme="minorHAnsi" w:cstheme="minorBidi"/>
      <w:sz w:val="22"/>
      <w:szCs w:val="22"/>
    </w:rPr>
  </w:style>
  <w:style w:type="paragraph" w:styleId="ListParagraph">
    <w:name w:val="List Paragraph"/>
    <w:basedOn w:val="Normal"/>
    <w:uiPriority w:val="34"/>
    <w:qFormat/>
    <w:rsid w:val="00C35D57"/>
    <w:pPr>
      <w:ind w:left="720"/>
      <w:contextualSpacing/>
    </w:pPr>
  </w:style>
  <w:style w:type="paragraph" w:styleId="BalloonText">
    <w:name w:val="Balloon Text"/>
    <w:basedOn w:val="Normal"/>
    <w:link w:val="BalloonTextChar"/>
    <w:semiHidden/>
    <w:unhideWhenUsed/>
    <w:rsid w:val="00AE4705"/>
    <w:rPr>
      <w:rFonts w:ascii="Segoe UI" w:hAnsi="Segoe UI" w:cs="Segoe UI"/>
      <w:sz w:val="18"/>
      <w:szCs w:val="18"/>
    </w:rPr>
  </w:style>
  <w:style w:type="character" w:customStyle="1" w:styleId="BalloonTextChar">
    <w:name w:val="Balloon Text Char"/>
    <w:basedOn w:val="DefaultParagraphFont"/>
    <w:link w:val="BalloonText"/>
    <w:semiHidden/>
    <w:rsid w:val="00AE4705"/>
    <w:rPr>
      <w:rFonts w:ascii="Segoe UI" w:hAnsi="Segoe UI" w:cs="Segoe UI"/>
      <w:sz w:val="18"/>
      <w:szCs w:val="18"/>
    </w:rPr>
  </w:style>
  <w:style w:type="character" w:styleId="CommentReference">
    <w:name w:val="annotation reference"/>
    <w:basedOn w:val="DefaultParagraphFont"/>
    <w:uiPriority w:val="99"/>
    <w:semiHidden/>
    <w:unhideWhenUsed/>
    <w:rsid w:val="00B14DB3"/>
    <w:rPr>
      <w:sz w:val="16"/>
      <w:szCs w:val="16"/>
    </w:rPr>
  </w:style>
  <w:style w:type="paragraph" w:styleId="CommentText">
    <w:name w:val="annotation text"/>
    <w:basedOn w:val="Normal"/>
    <w:link w:val="CommentTextChar"/>
    <w:uiPriority w:val="99"/>
    <w:semiHidden/>
    <w:unhideWhenUsed/>
    <w:rsid w:val="00B14DB3"/>
    <w:rPr>
      <w:sz w:val="20"/>
      <w:szCs w:val="20"/>
    </w:rPr>
  </w:style>
  <w:style w:type="character" w:customStyle="1" w:styleId="CommentTextChar">
    <w:name w:val="Comment Text Char"/>
    <w:basedOn w:val="DefaultParagraphFont"/>
    <w:link w:val="CommentText"/>
    <w:semiHidden/>
    <w:rsid w:val="00B14DB3"/>
  </w:style>
  <w:style w:type="paragraph" w:styleId="CommentSubject">
    <w:name w:val="annotation subject"/>
    <w:basedOn w:val="CommentText"/>
    <w:next w:val="CommentText"/>
    <w:link w:val="CommentSubjectChar"/>
    <w:semiHidden/>
    <w:unhideWhenUsed/>
    <w:rsid w:val="00B14DB3"/>
    <w:rPr>
      <w:b/>
      <w:bCs/>
    </w:rPr>
  </w:style>
  <w:style w:type="character" w:customStyle="1" w:styleId="CommentSubjectChar">
    <w:name w:val="Comment Subject Char"/>
    <w:basedOn w:val="CommentTextChar"/>
    <w:link w:val="CommentSubject"/>
    <w:semiHidden/>
    <w:rsid w:val="00B14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