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503E2" w:rsidP="00683DA6" w14:paraId="0E5B2702" w14:textId="77777777">
      <w:pPr>
        <w:spacing w:after="0" w:line="240" w:lineRule="auto"/>
        <w:jc w:val="center"/>
        <w:rPr>
          <w:b/>
        </w:rPr>
      </w:pPr>
      <w:r>
        <w:rPr>
          <w:b/>
        </w:rPr>
        <w:t xml:space="preserve">Remarks of FCC Commissioner Michael </w:t>
      </w:r>
      <w:r>
        <w:rPr>
          <w:b/>
        </w:rPr>
        <w:t>O’Rielly</w:t>
      </w:r>
    </w:p>
    <w:p w:rsidR="004503E2" w:rsidP="00683DA6" w14:paraId="59F43731" w14:textId="13B8FC03">
      <w:pPr>
        <w:spacing w:after="0" w:line="240" w:lineRule="auto"/>
        <w:jc w:val="center"/>
        <w:rPr>
          <w:b/>
        </w:rPr>
      </w:pPr>
      <w:r>
        <w:rPr>
          <w:b/>
        </w:rPr>
        <w:t xml:space="preserve">Before the ACA </w:t>
      </w:r>
      <w:r w:rsidR="002476C5">
        <w:rPr>
          <w:b/>
        </w:rPr>
        <w:t xml:space="preserve">International </w:t>
      </w:r>
      <w:r>
        <w:rPr>
          <w:b/>
        </w:rPr>
        <w:t>Washington Insights Conference</w:t>
      </w:r>
    </w:p>
    <w:p w:rsidR="004503E2" w:rsidRPr="004503E2" w:rsidP="00683DA6" w14:paraId="08F626E0" w14:textId="77777777">
      <w:pPr>
        <w:spacing w:after="0" w:line="240" w:lineRule="auto"/>
        <w:jc w:val="center"/>
        <w:rPr>
          <w:b/>
        </w:rPr>
      </w:pPr>
      <w:r>
        <w:rPr>
          <w:b/>
        </w:rPr>
        <w:t>May 16, 2019</w:t>
      </w:r>
    </w:p>
    <w:p w:rsidR="004503E2" w:rsidP="00683DA6" w14:paraId="663E0B35" w14:textId="7C0E67E6">
      <w:pPr>
        <w:spacing w:after="0" w:line="240" w:lineRule="auto"/>
      </w:pPr>
    </w:p>
    <w:p w:rsidR="00683DA6" w:rsidP="00683DA6" w14:paraId="4FB4EFA5" w14:textId="050851D3">
      <w:pPr>
        <w:spacing w:after="0" w:line="240" w:lineRule="auto"/>
      </w:pPr>
      <w:r>
        <w:t xml:space="preserve">Thank you, </w:t>
      </w:r>
      <w:r w:rsidR="00EA6DEC">
        <w:t xml:space="preserve">Mr. </w:t>
      </w:r>
      <w:r w:rsidR="00EA6DEC">
        <w:t>Gonsalves</w:t>
      </w:r>
      <w:r>
        <w:t xml:space="preserve">, for that very kind introduction.  I realize that I am </w:t>
      </w:r>
      <w:r w:rsidR="0063033D">
        <w:t>appearing at the tail end of your</w:t>
      </w:r>
      <w:r>
        <w:t xml:space="preserve"> conference</w:t>
      </w:r>
      <w:r w:rsidR="00CB11E1">
        <w:t>,</w:t>
      </w:r>
      <w:r>
        <w:t xml:space="preserve"> </w:t>
      </w:r>
      <w:r w:rsidR="00274131">
        <w:t xml:space="preserve">and </w:t>
      </w:r>
      <w:r w:rsidR="0067502A">
        <w:t xml:space="preserve">following </w:t>
      </w:r>
      <w:r w:rsidR="004717A3">
        <w:t>such</w:t>
      </w:r>
      <w:r w:rsidR="0067502A">
        <w:t xml:space="preserve"> </w:t>
      </w:r>
      <w:r w:rsidR="008309FE">
        <w:t xml:space="preserve">a </w:t>
      </w:r>
      <w:r w:rsidR="0067502A">
        <w:t>prominent</w:t>
      </w:r>
      <w:r w:rsidR="00D02747">
        <w:t xml:space="preserve"> </w:t>
      </w:r>
      <w:r w:rsidR="008309FE">
        <w:t>and knowledgeable</w:t>
      </w:r>
      <w:r w:rsidR="00F8056C">
        <w:t xml:space="preserve"> panel</w:t>
      </w:r>
      <w:r w:rsidR="00CB11E1">
        <w:t>, no less</w:t>
      </w:r>
      <w:r w:rsidR="00F8056C">
        <w:t xml:space="preserve">.  </w:t>
      </w:r>
      <w:r w:rsidR="00C30303">
        <w:t>The truth is</w:t>
      </w:r>
      <w:r w:rsidR="008D27ED">
        <w:t>, I was</w:t>
      </w:r>
      <w:r w:rsidR="00CB11E1">
        <w:t xml:space="preserve"> originally</w:t>
      </w:r>
      <w:r w:rsidR="008D27ED">
        <w:t xml:space="preserve"> supposed to speak to </w:t>
      </w:r>
      <w:r w:rsidR="00814652">
        <w:t xml:space="preserve">this distinguished audience </w:t>
      </w:r>
      <w:r w:rsidR="00881E62">
        <w:t>yesterday</w:t>
      </w:r>
      <w:r w:rsidR="008D27ED">
        <w:t xml:space="preserve"> </w:t>
      </w:r>
      <w:r w:rsidR="00814652">
        <w:t xml:space="preserve">but was summoned to testify </w:t>
      </w:r>
      <w:r w:rsidR="00CB11E1">
        <w:t>before</w:t>
      </w:r>
      <w:r w:rsidR="00814652">
        <w:t xml:space="preserve"> the House of Representatives, where I discussed</w:t>
      </w:r>
      <w:r w:rsidR="00CB11E1">
        <w:t xml:space="preserve"> regulatory issues affecting your industry and the need to protect legitimate business practices, among other topics</w:t>
      </w:r>
      <w:r w:rsidR="00814652">
        <w:t xml:space="preserve">.  </w:t>
      </w:r>
      <w:r w:rsidR="004F6346">
        <w:t>M</w:t>
      </w:r>
      <w:r w:rsidR="00CB11E1">
        <w:t>an</w:t>
      </w:r>
      <w:r w:rsidR="004F6346">
        <w:t>y thanks to ACA</w:t>
      </w:r>
      <w:r w:rsidR="00D47EF8">
        <w:t xml:space="preserve"> International</w:t>
      </w:r>
      <w:r w:rsidR="001F2A9E">
        <w:t>’s</w:t>
      </w:r>
      <w:r w:rsidR="004F6346">
        <w:t xml:space="preserve"> staff </w:t>
      </w:r>
      <w:r w:rsidR="004728FB">
        <w:t>for</w:t>
      </w:r>
      <w:r w:rsidR="004F6346">
        <w:t xml:space="preserve"> working </w:t>
      </w:r>
      <w:r w:rsidR="004728FB">
        <w:t xml:space="preserve">to accommodate the </w:t>
      </w:r>
      <w:r w:rsidR="00274131">
        <w:t xml:space="preserve">schedule </w:t>
      </w:r>
      <w:r w:rsidR="004728FB">
        <w:t>change</w:t>
      </w:r>
      <w:r w:rsidR="004F6346">
        <w:t xml:space="preserve"> and </w:t>
      </w:r>
      <w:r w:rsidR="00CB11E1">
        <w:t>to</w:t>
      </w:r>
      <w:r w:rsidR="004F6346">
        <w:t xml:space="preserve"> those of you who have stayed to hear me. </w:t>
      </w:r>
      <w:r w:rsidR="004728FB">
        <w:t xml:space="preserve"> </w:t>
      </w:r>
      <w:r w:rsidR="004F6346">
        <w:t xml:space="preserve">Hopefully, I won’t disappoint. </w:t>
      </w:r>
    </w:p>
    <w:p w:rsidR="00383DDF" w:rsidP="00683DA6" w14:paraId="6546CD70" w14:textId="77777777">
      <w:pPr>
        <w:spacing w:after="0" w:line="240" w:lineRule="auto"/>
      </w:pPr>
    </w:p>
    <w:p w:rsidR="006852D0" w:rsidP="00683DA6" w14:paraId="7EE82240" w14:textId="08561414">
      <w:pPr>
        <w:spacing w:after="0" w:line="240" w:lineRule="auto"/>
      </w:pPr>
      <w:r>
        <w:t>Let’s be honest:</w:t>
      </w:r>
      <w:r w:rsidR="00915253">
        <w:t xml:space="preserve"> </w:t>
      </w:r>
      <w:r w:rsidR="004D7B1F">
        <w:t>speaking in defense of</w:t>
      </w:r>
      <w:r w:rsidR="00383DDF">
        <w:t xml:space="preserve"> credit and collection professionals</w:t>
      </w:r>
      <w:r w:rsidR="004D7B1F">
        <w:t xml:space="preserve"> probably isn’t the politically savviest or safest move</w:t>
      </w:r>
      <w:r w:rsidR="00383DDF">
        <w:t xml:space="preserve">.  </w:t>
      </w:r>
      <w:r w:rsidR="004D7B1F">
        <w:t>As you’re well-aware, d</w:t>
      </w:r>
      <w:r w:rsidR="00383DDF">
        <w:t>ebt collectors</w:t>
      </w:r>
      <w:r>
        <w:t xml:space="preserve">, as you’re known </w:t>
      </w:r>
      <w:r w:rsidR="008309FE">
        <w:t>more commonly</w:t>
      </w:r>
      <w:r>
        <w:t>,</w:t>
      </w:r>
      <w:r w:rsidR="004D7B1F">
        <w:t xml:space="preserve"> </w:t>
      </w:r>
      <w:r w:rsidR="00383DDF">
        <w:t xml:space="preserve">are not </w:t>
      </w:r>
      <w:r w:rsidR="00CB11E1">
        <w:t>especially popular</w:t>
      </w:r>
      <w:r w:rsidR="00383DDF">
        <w:t xml:space="preserve"> </w:t>
      </w:r>
      <w:r w:rsidR="00383DDF">
        <w:t>in today’s</w:t>
      </w:r>
      <w:r w:rsidR="004D7B1F">
        <w:t xml:space="preserve"> </w:t>
      </w:r>
      <w:r w:rsidR="00383DDF">
        <w:t>society</w:t>
      </w:r>
      <w:r w:rsidR="00383DDF">
        <w:t xml:space="preserve">, and </w:t>
      </w:r>
      <w:r w:rsidR="009647CA">
        <w:t>likely</w:t>
      </w:r>
      <w:r w:rsidR="00383DDF">
        <w:t xml:space="preserve"> never</w:t>
      </w:r>
      <w:r w:rsidR="009647CA">
        <w:t xml:space="preserve"> have</w:t>
      </w:r>
      <w:r w:rsidR="00383DDF">
        <w:t xml:space="preserve"> been.  </w:t>
      </w:r>
      <w:r w:rsidR="004D7B1F">
        <w:t>T</w:t>
      </w:r>
      <w:r>
        <w:t>hough, to be fair</w:t>
      </w:r>
      <w:r w:rsidR="004D7B1F">
        <w:t>, I can relate</w:t>
      </w:r>
      <w:r>
        <w:t>;</w:t>
      </w:r>
      <w:r w:rsidR="004D7B1F">
        <w:t xml:space="preserve"> being a</w:t>
      </w:r>
      <w:r w:rsidR="00383DDF">
        <w:t xml:space="preserve"> </w:t>
      </w:r>
      <w:r w:rsidR="004D7B1F">
        <w:t>f</w:t>
      </w:r>
      <w:r w:rsidR="00383DDF">
        <w:t xml:space="preserve">ederal regulator isn’t </w:t>
      </w:r>
      <w:r>
        <w:t>the most</w:t>
      </w:r>
      <w:r w:rsidR="004D7B1F">
        <w:t xml:space="preserve"> endearing</w:t>
      </w:r>
      <w:r w:rsidR="001F2A9E">
        <w:t xml:space="preserve"> role</w:t>
      </w:r>
      <w:r w:rsidR="004D7B1F">
        <w:t xml:space="preserve"> either</w:t>
      </w:r>
      <w:r w:rsidR="00DD50BD">
        <w:t xml:space="preserve">.  But being </w:t>
      </w:r>
      <w:r w:rsidR="004D7B1F">
        <w:t>well-</w:t>
      </w:r>
      <w:r w:rsidR="00DD50BD">
        <w:t xml:space="preserve">liked </w:t>
      </w:r>
      <w:r w:rsidR="004D7B1F">
        <w:t>cannot</w:t>
      </w:r>
      <w:r w:rsidR="00DD50BD">
        <w:t xml:space="preserve"> be </w:t>
      </w:r>
      <w:r w:rsidR="00DA17A5">
        <w:t xml:space="preserve">the </w:t>
      </w:r>
      <w:r w:rsidR="004D7B1F">
        <w:t>basis</w:t>
      </w:r>
      <w:r w:rsidR="00DD50BD">
        <w:t xml:space="preserve"> for </w:t>
      </w:r>
      <w:r w:rsidR="00AC6464">
        <w:t>one’s</w:t>
      </w:r>
      <w:r w:rsidR="00DD50BD">
        <w:t xml:space="preserve"> career</w:t>
      </w:r>
      <w:r w:rsidR="004D7B1F">
        <w:t xml:space="preserve"> choice,</w:t>
      </w:r>
      <w:r w:rsidR="00DD50BD">
        <w:t xml:space="preserve"> or </w:t>
      </w:r>
      <w:r w:rsidR="004D7B1F">
        <w:t xml:space="preserve">otherwise </w:t>
      </w:r>
      <w:r w:rsidR="00DD50BD">
        <w:t>we</w:t>
      </w:r>
      <w:r w:rsidR="004D7B1F">
        <w:t>’d</w:t>
      </w:r>
      <w:r w:rsidR="00DD50BD">
        <w:t xml:space="preserve"> all be candy makers or florists.  </w:t>
      </w:r>
      <w:r w:rsidR="004D7B1F">
        <w:t>After all,</w:t>
      </w:r>
      <w:r w:rsidR="00DD50BD">
        <w:t xml:space="preserve"> who doesn’t </w:t>
      </w:r>
      <w:r w:rsidR="001F2A9E">
        <w:t>love</w:t>
      </w:r>
      <w:r w:rsidR="00DD50BD">
        <w:t xml:space="preserve"> their local </w:t>
      </w:r>
      <w:r w:rsidR="00CE4658">
        <w:t>confectioner</w:t>
      </w:r>
      <w:r w:rsidR="00DD50BD">
        <w:t xml:space="preserve">?  </w:t>
      </w:r>
      <w:r w:rsidR="00383DDF">
        <w:t xml:space="preserve">  </w:t>
      </w:r>
    </w:p>
    <w:p w:rsidR="00383DDF" w:rsidP="00683DA6" w14:paraId="1CAC447F" w14:textId="77777777">
      <w:pPr>
        <w:spacing w:after="0" w:line="240" w:lineRule="auto"/>
      </w:pPr>
    </w:p>
    <w:p w:rsidR="005322C3" w:rsidP="009129D1" w14:paraId="0C5F362C" w14:textId="3D678404">
      <w:pPr>
        <w:spacing w:after="0" w:line="240" w:lineRule="auto"/>
      </w:pPr>
      <w:r>
        <w:t xml:space="preserve">When I think of </w:t>
      </w:r>
      <w:r w:rsidR="00B54404">
        <w:t>the credit</w:t>
      </w:r>
      <w:r>
        <w:t xml:space="preserve"> collection</w:t>
      </w:r>
      <w:r w:rsidR="00B54404">
        <w:t xml:space="preserve"> process</w:t>
      </w:r>
      <w:r>
        <w:t>, I am remind</w:t>
      </w:r>
      <w:r w:rsidR="00881E62">
        <w:t>ed</w:t>
      </w:r>
      <w:r>
        <w:t xml:space="preserve"> of a quote by </w:t>
      </w:r>
      <w:r w:rsidR="005F07FA">
        <w:t xml:space="preserve">Earl Wilson, </w:t>
      </w:r>
      <w:r w:rsidR="00082DA1">
        <w:t xml:space="preserve">a former major league baseball </w:t>
      </w:r>
      <w:r w:rsidR="00B557D1">
        <w:t>pitcher</w:t>
      </w:r>
      <w:r w:rsidR="00082DA1">
        <w:t xml:space="preserve"> from the </w:t>
      </w:r>
      <w:r w:rsidR="00957A2F">
        <w:t>1960s, who turned into quite the quotable individual</w:t>
      </w:r>
      <w:r w:rsidR="00B868F3">
        <w:t xml:space="preserve"> before passing in 2005</w:t>
      </w:r>
      <w:r w:rsidR="00957A2F">
        <w:t xml:space="preserve">.  </w:t>
      </w:r>
      <w:r w:rsidR="00AD0F05">
        <w:t>Think of</w:t>
      </w:r>
      <w:r w:rsidR="006C7DA9">
        <w:t xml:space="preserve"> Yogi</w:t>
      </w:r>
      <w:r w:rsidR="00AD0F05">
        <w:t xml:space="preserve"> </w:t>
      </w:r>
      <w:r w:rsidR="00B557D1">
        <w:t>Berra</w:t>
      </w:r>
      <w:r w:rsidR="00AD0F05">
        <w:t xml:space="preserve"> without all the World Series Championship</w:t>
      </w:r>
      <w:r w:rsidR="00775CC8">
        <w:t>s</w:t>
      </w:r>
      <w:r w:rsidR="00AD0F05">
        <w:t xml:space="preserve">.  Mr. Wilson once </w:t>
      </w:r>
      <w:r w:rsidR="001F2A9E">
        <w:t>quipped</w:t>
      </w:r>
      <w:r w:rsidR="00AD0F05">
        <w:t xml:space="preserve">, </w:t>
      </w:r>
      <w:r w:rsidR="00B557D1">
        <w:t>“</w:t>
      </w:r>
      <w:r w:rsidR="00775CC8">
        <w:t>If</w:t>
      </w:r>
      <w:r w:rsidR="006C7DA9">
        <w:t xml:space="preserve"> you think nobody cares</w:t>
      </w:r>
      <w:r w:rsidR="00393A53">
        <w:t xml:space="preserve"> if you’re alive, try missing a </w:t>
      </w:r>
      <w:r w:rsidR="00F77C94">
        <w:t xml:space="preserve">couple </w:t>
      </w:r>
      <w:r w:rsidR="00F26791">
        <w:t xml:space="preserve">of </w:t>
      </w:r>
      <w:r w:rsidR="00F77C94">
        <w:t>car payments.”</w:t>
      </w:r>
      <w:r w:rsidR="00861F24">
        <w:t xml:space="preserve">  That </w:t>
      </w:r>
      <w:r w:rsidR="00B34789">
        <w:t>joke</w:t>
      </w:r>
      <w:r w:rsidR="0007471F">
        <w:t xml:space="preserve"> </w:t>
      </w:r>
      <w:r w:rsidR="00B34789">
        <w:t>works with mortgages or student loans too</w:t>
      </w:r>
      <w:r w:rsidR="0087314B">
        <w:t>, by the way</w:t>
      </w:r>
      <w:r w:rsidR="0061742E">
        <w:t xml:space="preserve">.  </w:t>
      </w:r>
      <w:r w:rsidR="001F2A9E">
        <w:t xml:space="preserve">It also </w:t>
      </w:r>
      <w:r w:rsidR="0007471F">
        <w:t>reveals that being “popular” isn’t always a blessing; you rarely become more sought after than when you owe something to others.</w:t>
      </w:r>
      <w:r w:rsidR="008527EC">
        <w:t xml:space="preserve"> </w:t>
      </w:r>
    </w:p>
    <w:p w:rsidR="005322C3" w:rsidP="00683DA6" w14:paraId="0DE7B032" w14:textId="77777777">
      <w:pPr>
        <w:spacing w:after="0" w:line="240" w:lineRule="auto"/>
      </w:pPr>
    </w:p>
    <w:p w:rsidR="004F0D98" w:rsidP="00683DA6" w14:paraId="23361467" w14:textId="69ED6244">
      <w:pPr>
        <w:spacing w:after="0" w:line="240" w:lineRule="auto"/>
      </w:pPr>
      <w:r>
        <w:t xml:space="preserve">What exactly </w:t>
      </w:r>
      <w:r w:rsidR="00383DDF">
        <w:t xml:space="preserve">is debt?  </w:t>
      </w:r>
      <w:r>
        <w:t xml:space="preserve">Some </w:t>
      </w:r>
      <w:r w:rsidR="006D7878">
        <w:t>may view it as a</w:t>
      </w:r>
      <w:r>
        <w:t xml:space="preserve"> societal ill</w:t>
      </w:r>
      <w:r w:rsidR="006D7878">
        <w:t>, or as part of</w:t>
      </w:r>
      <w:r w:rsidR="00EA008C">
        <w:t xml:space="preserve"> the</w:t>
      </w:r>
      <w:r w:rsidR="00417A15">
        <w:t xml:space="preserve"> darker side of American capitalism.  But</w:t>
      </w:r>
      <w:r w:rsidR="006D7878">
        <w:t>,</w:t>
      </w:r>
      <w:r w:rsidR="00417A15">
        <w:t xml:space="preserve"> if you really think about it, debt </w:t>
      </w:r>
      <w:r w:rsidR="00D84ABE">
        <w:t xml:space="preserve">is </w:t>
      </w:r>
      <w:r w:rsidR="00881E62">
        <w:t xml:space="preserve">the </w:t>
      </w:r>
      <w:r w:rsidR="00D84ABE">
        <w:t xml:space="preserve">result of someone </w:t>
      </w:r>
      <w:r w:rsidR="006D7878">
        <w:t>believing in and taking a chance on another</w:t>
      </w:r>
      <w:r w:rsidR="00D84ABE">
        <w:t xml:space="preserve"> </w:t>
      </w:r>
      <w:r w:rsidR="00C30303">
        <w:t>person</w:t>
      </w:r>
      <w:r w:rsidR="006324E2">
        <w:t>’s</w:t>
      </w:r>
      <w:r w:rsidR="00D84ABE">
        <w:t xml:space="preserve"> dreams</w:t>
      </w:r>
      <w:r w:rsidR="00F56CDD">
        <w:t>—</w:t>
      </w:r>
      <w:r w:rsidR="004C1F40">
        <w:t>albeit</w:t>
      </w:r>
      <w:r w:rsidR="00F56CDD">
        <w:t xml:space="preserve"> </w:t>
      </w:r>
      <w:r w:rsidR="004C1F40">
        <w:t xml:space="preserve">for a </w:t>
      </w:r>
      <w:r w:rsidR="00EC5556">
        <w:t xml:space="preserve">profit, which is completely legitimate in our </w:t>
      </w:r>
      <w:r w:rsidR="006D7878">
        <w:t>market-based</w:t>
      </w:r>
      <w:r w:rsidR="00EC5556">
        <w:t xml:space="preserve"> society</w:t>
      </w:r>
      <w:r w:rsidR="00426C07">
        <w:t xml:space="preserve">.  </w:t>
      </w:r>
      <w:r w:rsidR="00C96824">
        <w:t xml:space="preserve">Indeed, </w:t>
      </w:r>
      <w:r w:rsidR="0087314B">
        <w:t xml:space="preserve">the extension of credit, and </w:t>
      </w:r>
      <w:r w:rsidR="00150753">
        <w:t xml:space="preserve">in turn the assumption </w:t>
      </w:r>
      <w:r w:rsidR="0087314B">
        <w:t xml:space="preserve">of </w:t>
      </w:r>
      <w:r w:rsidR="006D7878">
        <w:t>debt</w:t>
      </w:r>
      <w:r w:rsidR="0087314B">
        <w:t>,</w:t>
      </w:r>
      <w:r w:rsidR="006D7878">
        <w:t xml:space="preserve"> is what</w:t>
      </w:r>
      <w:r w:rsidR="009A32D4">
        <w:t xml:space="preserve"> </w:t>
      </w:r>
      <w:r w:rsidR="006D7878">
        <w:t>enables</w:t>
      </w:r>
      <w:r w:rsidR="00F56CDD">
        <w:t xml:space="preserve"> many</w:t>
      </w:r>
      <w:r w:rsidR="006D7878">
        <w:t xml:space="preserve"> individuals to realize their </w:t>
      </w:r>
      <w:r w:rsidR="00426C07">
        <w:t xml:space="preserve">vision for </w:t>
      </w:r>
      <w:r w:rsidR="004879A2">
        <w:t>a corporation, a small</w:t>
      </w:r>
      <w:r w:rsidR="00426C07">
        <w:t xml:space="preserve"> business, a future career, a family farm, </w:t>
      </w:r>
      <w:r w:rsidR="008309FE">
        <w:t xml:space="preserve">a first home, </w:t>
      </w:r>
      <w:r w:rsidR="00C57C7E">
        <w:t xml:space="preserve">or </w:t>
      </w:r>
      <w:r w:rsidR="00426C07">
        <w:t xml:space="preserve">a </w:t>
      </w:r>
      <w:r w:rsidR="00C57C7E">
        <w:t>better</w:t>
      </w:r>
      <w:r w:rsidR="00426C07">
        <w:t xml:space="preserve"> </w:t>
      </w:r>
      <w:r w:rsidR="00CA0E7F">
        <w:t>mode</w:t>
      </w:r>
      <w:r w:rsidR="00426C07">
        <w:t xml:space="preserve"> of transportation.  </w:t>
      </w:r>
      <w:r w:rsidR="00274045">
        <w:t>And</w:t>
      </w:r>
      <w:r w:rsidR="00C57C7E">
        <w:t>,</w:t>
      </w:r>
      <w:r w:rsidR="00274045">
        <w:t xml:space="preserve"> debt collection is </w:t>
      </w:r>
      <w:r w:rsidR="0087314B">
        <w:t xml:space="preserve">simply the </w:t>
      </w:r>
      <w:r w:rsidR="00274045">
        <w:t xml:space="preserve">process of </w:t>
      </w:r>
      <w:r w:rsidR="00150753">
        <w:t xml:space="preserve">following through on </w:t>
      </w:r>
      <w:r w:rsidR="00C57C7E">
        <w:t>a</w:t>
      </w:r>
      <w:r w:rsidR="00C272B8">
        <w:t xml:space="preserve"> promise</w:t>
      </w:r>
      <w:r w:rsidR="00274131">
        <w:t>,</w:t>
      </w:r>
      <w:r w:rsidR="00C272B8">
        <w:t xml:space="preserve"> </w:t>
      </w:r>
      <w:r w:rsidR="00274045">
        <w:t xml:space="preserve">so there’s money </w:t>
      </w:r>
      <w:r w:rsidR="008F40DF">
        <w:t xml:space="preserve">available </w:t>
      </w:r>
      <w:r w:rsidR="00274045">
        <w:t xml:space="preserve">to make the next loan for </w:t>
      </w:r>
      <w:r w:rsidR="00D30B15">
        <w:t>someone else’s dream</w:t>
      </w:r>
      <w:r w:rsidR="00274045">
        <w:t xml:space="preserve">.  </w:t>
      </w:r>
    </w:p>
    <w:p w:rsidR="004F0D98" w:rsidP="00683DA6" w14:paraId="24983838" w14:textId="77777777">
      <w:pPr>
        <w:spacing w:after="0" w:line="240" w:lineRule="auto"/>
      </w:pPr>
    </w:p>
    <w:p w:rsidR="009A32D4" w:rsidP="00683DA6" w14:paraId="7EC2C953" w14:textId="687FCA44">
      <w:pPr>
        <w:spacing w:after="0" w:line="240" w:lineRule="auto"/>
      </w:pPr>
      <w:r>
        <w:t>Just think what would happen without</w:t>
      </w:r>
      <w:r w:rsidR="00274045">
        <w:t xml:space="preserve"> the </w:t>
      </w:r>
      <w:r w:rsidR="00C57C7E">
        <w:t>work</w:t>
      </w:r>
      <w:r w:rsidR="00274045">
        <w:t xml:space="preserve"> of ACA</w:t>
      </w:r>
      <w:r w:rsidR="000E3978">
        <w:t xml:space="preserve"> International</w:t>
      </w:r>
      <w:r w:rsidR="00274045">
        <w:t>’s members</w:t>
      </w:r>
      <w:r w:rsidR="004879A2">
        <w:t xml:space="preserve">. </w:t>
      </w:r>
      <w:r w:rsidR="00881E62">
        <w:t xml:space="preserve"> As you know well, </w:t>
      </w:r>
      <w:r w:rsidR="004879A2">
        <w:t>without debt collection, the cost of lending would soar</w:t>
      </w:r>
      <w:r w:rsidR="006324E2">
        <w:t xml:space="preserve">, as </w:t>
      </w:r>
      <w:r w:rsidR="004879A2">
        <w:t xml:space="preserve">any defaults would be </w:t>
      </w:r>
      <w:r w:rsidR="00022759">
        <w:t xml:space="preserve">absorbed </w:t>
      </w:r>
      <w:r w:rsidR="00A1519C">
        <w:t xml:space="preserve">by </w:t>
      </w:r>
      <w:r w:rsidR="003733D3">
        <w:t>future</w:t>
      </w:r>
      <w:r w:rsidR="004879A2">
        <w:t xml:space="preserve"> borrower</w:t>
      </w:r>
      <w:r w:rsidR="00022759">
        <w:t>s</w:t>
      </w:r>
      <w:r w:rsidR="004879A2">
        <w:t xml:space="preserve">.  </w:t>
      </w:r>
      <w:r w:rsidR="00C14E8E">
        <w:t>Your action</w:t>
      </w:r>
      <w:r w:rsidR="00881E62">
        <w:t>s</w:t>
      </w:r>
      <w:r w:rsidR="00C14E8E">
        <w:t xml:space="preserve"> </w:t>
      </w:r>
      <w:r w:rsidR="00881E62">
        <w:t>keep</w:t>
      </w:r>
      <w:r w:rsidR="00C14E8E">
        <w:t xml:space="preserve"> interest rates lower than they would be otherwise.  </w:t>
      </w:r>
      <w:r w:rsidR="00022759">
        <w:t>C</w:t>
      </w:r>
      <w:r w:rsidR="00520E54">
        <w:t xml:space="preserve">onsistent with governing statutes, </w:t>
      </w:r>
      <w:r w:rsidR="00022759">
        <w:t xml:space="preserve">your industry does everything it can </w:t>
      </w:r>
      <w:r w:rsidR="00520E54">
        <w:t xml:space="preserve">to ensure </w:t>
      </w:r>
      <w:r>
        <w:t>that</w:t>
      </w:r>
      <w:r w:rsidR="00520E54">
        <w:t xml:space="preserve"> borrowers meet their obligations</w:t>
      </w:r>
      <w:r>
        <w:t>.</w:t>
      </w:r>
      <w:r w:rsidR="00022759">
        <w:t xml:space="preserve"> </w:t>
      </w:r>
      <w:r>
        <w:t xml:space="preserve"> A</w:t>
      </w:r>
      <w:r w:rsidR="00022759">
        <w:t>nd</w:t>
      </w:r>
      <w:r>
        <w:t>, you</w:t>
      </w:r>
      <w:r w:rsidR="00520E54">
        <w:t xml:space="preserve"> work extra hard </w:t>
      </w:r>
      <w:r w:rsidR="00022759">
        <w:t>to prevent defaults through</w:t>
      </w:r>
      <w:r w:rsidR="00127A22">
        <w:t xml:space="preserve"> payment plans and </w:t>
      </w:r>
      <w:r w:rsidR="00022759">
        <w:t>deferments, since</w:t>
      </w:r>
      <w:r w:rsidR="00127A22">
        <w:t xml:space="preserve"> </w:t>
      </w:r>
      <w:r w:rsidR="005718CA">
        <w:t xml:space="preserve">those instances </w:t>
      </w:r>
      <w:r w:rsidR="00314B7E">
        <w:t xml:space="preserve">are the </w:t>
      </w:r>
      <w:r w:rsidR="00CA0E7F">
        <w:t>costliest</w:t>
      </w:r>
      <w:r w:rsidR="00314B7E">
        <w:t xml:space="preserve"> for lenders</w:t>
      </w:r>
      <w:r w:rsidR="008F40DF">
        <w:t>,</w:t>
      </w:r>
      <w:r w:rsidR="00314B7E">
        <w:t xml:space="preserve"> borrowers</w:t>
      </w:r>
      <w:r w:rsidR="008F40DF">
        <w:t>, and society at-large</w:t>
      </w:r>
      <w:r w:rsidR="00314B7E">
        <w:t xml:space="preserve">. </w:t>
      </w:r>
      <w:r w:rsidR="00D91F3F">
        <w:t xml:space="preserve"> </w:t>
      </w:r>
      <w:r w:rsidR="00A76104">
        <w:t xml:space="preserve">If </w:t>
      </w:r>
      <w:r w:rsidR="00022759">
        <w:t xml:space="preserve">only </w:t>
      </w:r>
      <w:r w:rsidR="00A76104">
        <w:t>the world knew</w:t>
      </w:r>
      <w:r w:rsidR="00D91F3F">
        <w:t xml:space="preserve"> </w:t>
      </w:r>
      <w:r w:rsidR="00A76104">
        <w:t xml:space="preserve">how </w:t>
      </w:r>
      <w:r w:rsidR="00D91F3F">
        <w:t xml:space="preserve">much effort you </w:t>
      </w:r>
      <w:r w:rsidR="00786621">
        <w:t>devote</w:t>
      </w:r>
      <w:r w:rsidR="00D91F3F">
        <w:t xml:space="preserve"> to ke</w:t>
      </w:r>
      <w:r w:rsidR="00786621">
        <w:t>eping</w:t>
      </w:r>
      <w:r w:rsidR="00D91F3F">
        <w:t xml:space="preserve"> people in their homes</w:t>
      </w:r>
      <w:r w:rsidR="004664A9">
        <w:t xml:space="preserve">, current on other loan payments, and </w:t>
      </w:r>
      <w:r w:rsidR="00022759">
        <w:t>out of</w:t>
      </w:r>
      <w:r w:rsidR="00D91F3F">
        <w:t xml:space="preserve"> bankruptcy. </w:t>
      </w:r>
    </w:p>
    <w:p w:rsidR="00C83F95" w:rsidP="00683DA6" w14:paraId="169926B0" w14:textId="77777777">
      <w:pPr>
        <w:spacing w:after="0" w:line="240" w:lineRule="auto"/>
      </w:pPr>
    </w:p>
    <w:p w:rsidR="009043D6" w:rsidP="00683DA6" w14:paraId="53141B30" w14:textId="67FAB5F3">
      <w:pPr>
        <w:spacing w:after="0" w:line="240" w:lineRule="auto"/>
      </w:pPr>
      <w:r>
        <w:t>So,</w:t>
      </w:r>
      <w:r w:rsidR="00A76104">
        <w:t xml:space="preserve"> I</w:t>
      </w:r>
      <w:r w:rsidR="00445566">
        <w:t xml:space="preserve"> am here to </w:t>
      </w:r>
      <w:r w:rsidR="008309FE">
        <w:t>join</w:t>
      </w:r>
      <w:r w:rsidR="00445566">
        <w:t xml:space="preserve"> </w:t>
      </w:r>
      <w:r w:rsidR="00974B37">
        <w:t xml:space="preserve">with </w:t>
      </w:r>
      <w:r w:rsidR="00445566">
        <w:t xml:space="preserve">your organization as your members continue to face </w:t>
      </w:r>
      <w:r w:rsidR="0087314B">
        <w:t xml:space="preserve">untenable </w:t>
      </w:r>
      <w:r w:rsidR="00445566">
        <w:t>legal risk</w:t>
      </w:r>
      <w:r w:rsidR="0031246E">
        <w:t xml:space="preserve"> and uncertainty</w:t>
      </w:r>
      <w:r w:rsidR="009A32D4">
        <w:t xml:space="preserve"> in </w:t>
      </w:r>
      <w:r w:rsidR="0087314B">
        <w:t xml:space="preserve">your </w:t>
      </w:r>
      <w:r w:rsidR="009A32D4">
        <w:t>efforts to reach out to borrowers</w:t>
      </w:r>
      <w:r w:rsidR="00445566">
        <w:t xml:space="preserve">.  The </w:t>
      </w:r>
      <w:r w:rsidR="000869D6">
        <w:t>last</w:t>
      </w:r>
      <w:r w:rsidR="00445566">
        <w:t xml:space="preserve"> time I spoke before ACA, the DC Circuit had not yet ruled </w:t>
      </w:r>
      <w:r w:rsidR="0087314B">
        <w:t xml:space="preserve">on </w:t>
      </w:r>
      <w:r w:rsidRPr="00150753" w:rsidR="00445566">
        <w:rPr>
          <w:i/>
        </w:rPr>
        <w:t>ACA International</w:t>
      </w:r>
      <w:r w:rsidR="00786621">
        <w:rPr>
          <w:i/>
        </w:rPr>
        <w:t xml:space="preserve"> v. FCC</w:t>
      </w:r>
      <w:r w:rsidR="00445566">
        <w:t xml:space="preserve">, your organization and others’ seminal challenge to the FCC’s 2015 Omnibus TCPA Order.  Like many of you, I applauded that court’s role in </w:t>
      </w:r>
      <w:r>
        <w:t xml:space="preserve">setting aside the previous FCC’s unreasonably expansive and uncertain definition of what constitutes an </w:t>
      </w:r>
      <w:r>
        <w:t>“</w:t>
      </w:r>
      <w:r w:rsidR="00062F60">
        <w:t>A</w:t>
      </w:r>
      <w:r>
        <w:t>uto</w:t>
      </w:r>
      <w:r w:rsidR="00062F60">
        <w:t>matic Telephone Dialing System</w:t>
      </w:r>
      <w:r w:rsidR="0087314B">
        <w:t>,</w:t>
      </w:r>
      <w:r>
        <w:t>”</w:t>
      </w:r>
      <w:r w:rsidR="009B0AE8">
        <w:t xml:space="preserve"> or ATDS</w:t>
      </w:r>
      <w:r w:rsidR="0087314B">
        <w:t>,</w:t>
      </w:r>
      <w:r>
        <w:t xml:space="preserve"> </w:t>
      </w:r>
      <w:r w:rsidR="0042656F">
        <w:t>under</w:t>
      </w:r>
      <w:r>
        <w:t xml:space="preserve"> the TCPA, and </w:t>
      </w:r>
      <w:r w:rsidR="0087314B">
        <w:t xml:space="preserve">the </w:t>
      </w:r>
      <w:r>
        <w:t>deeply flawed one-call safe harbor in the reassigned numbers context.</w:t>
      </w:r>
    </w:p>
    <w:p w:rsidR="00357925" w:rsidP="00357925" w14:paraId="6DB3E5BB" w14:textId="77777777">
      <w:pPr>
        <w:spacing w:after="0" w:line="240" w:lineRule="auto"/>
      </w:pPr>
    </w:p>
    <w:p w:rsidR="004503E2" w:rsidP="00357925" w14:paraId="4563F540" w14:textId="5038A125">
      <w:pPr>
        <w:spacing w:after="0" w:line="240" w:lineRule="auto"/>
        <w:rPr>
          <w:i/>
        </w:rPr>
      </w:pPr>
      <w:r>
        <w:rPr>
          <w:i/>
        </w:rPr>
        <w:t>The Landscape Post-ACA</w:t>
      </w:r>
      <w:r w:rsidR="008F40DF">
        <w:rPr>
          <w:i/>
        </w:rPr>
        <w:t xml:space="preserve"> International</w:t>
      </w:r>
      <w:r w:rsidR="002C1438">
        <w:rPr>
          <w:i/>
        </w:rPr>
        <w:t xml:space="preserve"> v. FCC</w:t>
      </w:r>
    </w:p>
    <w:p w:rsidR="00357925" w:rsidRPr="004503E2" w:rsidP="00357925" w14:paraId="5D7D87D7" w14:textId="77777777">
      <w:pPr>
        <w:spacing w:after="0" w:line="240" w:lineRule="auto"/>
        <w:rPr>
          <w:i/>
        </w:rPr>
      </w:pPr>
    </w:p>
    <w:p w:rsidR="00D641D3" w:rsidP="00357925" w14:paraId="26C478E9" w14:textId="416E1095">
      <w:pPr>
        <w:spacing w:after="0" w:line="240" w:lineRule="auto"/>
      </w:pPr>
      <w:r>
        <w:t xml:space="preserve">Unfortunately, despite your organization’s substantial and </w:t>
      </w:r>
      <w:r w:rsidR="004503E2">
        <w:t>justified</w:t>
      </w:r>
      <w:r>
        <w:t xml:space="preserve"> win in that case, the “fog of uncertainty,” as the </w:t>
      </w:r>
      <w:r w:rsidR="0018658D">
        <w:t>DC Circuit</w:t>
      </w:r>
      <w:r>
        <w:t xml:space="preserve"> put it, remains </w:t>
      </w:r>
      <w:r w:rsidR="009B0AE8">
        <w:t>thicker</w:t>
      </w:r>
      <w:r>
        <w:t xml:space="preserve"> than ever.  I</w:t>
      </w:r>
      <w:r w:rsidR="009B0AE8">
        <w:t xml:space="preserve">t remains up to this FCC to respond to </w:t>
      </w:r>
      <w:r w:rsidR="0018658D">
        <w:t>that court’s</w:t>
      </w:r>
      <w:r w:rsidR="009B0AE8">
        <w:t xml:space="preserve"> set-asides</w:t>
      </w:r>
      <w:r w:rsidR="001B11AF">
        <w:t>,</w:t>
      </w:r>
      <w:r w:rsidR="009B0AE8">
        <w:t xml:space="preserve"> re-define ATDS in a clear and rational manner</w:t>
      </w:r>
      <w:r w:rsidR="001B11AF">
        <w:t>,</w:t>
      </w:r>
      <w:r w:rsidR="009B0AE8">
        <w:t xml:space="preserve"> and </w:t>
      </w:r>
      <w:r w:rsidR="004503E2">
        <w:t xml:space="preserve">complete </w:t>
      </w:r>
      <w:r w:rsidR="0087314B">
        <w:t xml:space="preserve">the adoption of </w:t>
      </w:r>
      <w:r w:rsidR="009B0AE8">
        <w:t xml:space="preserve">a </w:t>
      </w:r>
      <w:r w:rsidR="004503E2">
        <w:t>n</w:t>
      </w:r>
      <w:r w:rsidR="009B0AE8">
        <w:t xml:space="preserve">on-arbitrary reassigned numbers </w:t>
      </w:r>
      <w:r w:rsidR="00C14E8E">
        <w:t>database with a sufficient</w:t>
      </w:r>
      <w:r w:rsidR="00273C1A">
        <w:t xml:space="preserve">ly workable </w:t>
      </w:r>
      <w:r w:rsidR="009B0AE8">
        <w:t xml:space="preserve">safe harbor.  </w:t>
      </w:r>
      <w:r w:rsidR="00564455">
        <w:t>D</w:t>
      </w:r>
      <w:r w:rsidR="009B0AE8">
        <w:t xml:space="preserve">espite the DC Circuit’s </w:t>
      </w:r>
      <w:r w:rsidR="00117E12">
        <w:t>decision to refrain from invalidating the 2015 standards on revocation of consent, I strongly believe that it is incumbent on our agency to adopt clear rules of the road in that area as well</w:t>
      </w:r>
      <w:r w:rsidR="00CE7DAF">
        <w:t xml:space="preserve">.  And, as you know from my previous comments and dissent to the 2015 Order, these issues </w:t>
      </w:r>
      <w:r w:rsidR="00062F60">
        <w:t>hardly represent an</w:t>
      </w:r>
      <w:r w:rsidR="00CE7DAF">
        <w:t xml:space="preserve"> exhaustive list of warranted TCPA regulatory reforms.</w:t>
      </w:r>
    </w:p>
    <w:p w:rsidR="00357925" w:rsidP="00357925" w14:paraId="27FDEF81" w14:textId="77777777">
      <w:pPr>
        <w:spacing w:after="0" w:line="240" w:lineRule="auto"/>
      </w:pPr>
    </w:p>
    <w:p w:rsidR="004503E2" w:rsidP="00357925" w14:paraId="5A5F4242" w14:textId="6E2BB427">
      <w:pPr>
        <w:spacing w:after="0" w:line="240" w:lineRule="auto"/>
      </w:pPr>
      <w:r>
        <w:t>The longer we wait to take these</w:t>
      </w:r>
      <w:r w:rsidR="00CE7DAF">
        <w:t xml:space="preserve"> necessary</w:t>
      </w:r>
      <w:r>
        <w:t xml:space="preserve"> actions, the greater</w:t>
      </w:r>
      <w:r w:rsidR="00CE7DAF">
        <w:t xml:space="preserve"> the harms that are inflicted on both organizations and consumers.</w:t>
      </w:r>
      <w:r>
        <w:t xml:space="preserve"> </w:t>
      </w:r>
      <w:r w:rsidR="00CE7DAF">
        <w:t xml:space="preserve"> You know better than anyone that the </w:t>
      </w:r>
      <w:r w:rsidR="003E75A5">
        <w:t xml:space="preserve">past </w:t>
      </w:r>
      <w:r w:rsidR="00CE7DAF">
        <w:t>FCC’s unclear and expansive TCP</w:t>
      </w:r>
      <w:r w:rsidR="00C46270">
        <w:t>A</w:t>
      </w:r>
      <w:r w:rsidR="00CE7DAF">
        <w:t xml:space="preserve"> rules have created a crippling litigation threat for businesses in </w:t>
      </w:r>
      <w:r w:rsidR="0087314B">
        <w:t xml:space="preserve">virtually </w:t>
      </w:r>
      <w:r w:rsidR="00CE7DAF">
        <w:t>all industrie</w:t>
      </w:r>
      <w:r w:rsidR="00464EFF">
        <w:t xml:space="preserve">s; indeed, there was a </w:t>
      </w:r>
      <w:r w:rsidRPr="00F03FB3" w:rsidR="00464EFF">
        <w:rPr>
          <w:rStyle w:val="Hyperlink"/>
          <w:color w:val="auto"/>
          <w:u w:val="none"/>
        </w:rPr>
        <w:t>46</w:t>
      </w:r>
      <w:r w:rsidR="001B11AF">
        <w:rPr>
          <w:rStyle w:val="Hyperlink"/>
          <w:color w:val="auto"/>
          <w:u w:val="none"/>
        </w:rPr>
        <w:t xml:space="preserve"> percent</w:t>
      </w:r>
      <w:r w:rsidRPr="00F03FB3" w:rsidR="001B11AF">
        <w:rPr>
          <w:rStyle w:val="Hyperlink"/>
          <w:color w:val="auto"/>
          <w:u w:val="none"/>
        </w:rPr>
        <w:t xml:space="preserve"> </w:t>
      </w:r>
      <w:r w:rsidRPr="00F03FB3" w:rsidR="00464EFF">
        <w:rPr>
          <w:rStyle w:val="Hyperlink"/>
          <w:color w:val="auto"/>
          <w:u w:val="none"/>
        </w:rPr>
        <w:t>increase</w:t>
      </w:r>
      <w:r w:rsidRPr="00F03FB3" w:rsidR="00464EFF">
        <w:t xml:space="preserve"> </w:t>
      </w:r>
      <w:r w:rsidR="00464EFF">
        <w:t>in TCPA lawsuits in the period immediately following the 2015 Omnibus Order, as compared with the period immediately preceding i</w:t>
      </w:r>
      <w:r w:rsidR="00855DAA">
        <w:t>t, according to the U.S. Chamber Institute for Legal Reform</w:t>
      </w:r>
      <w:r w:rsidR="00464EFF">
        <w:t>.</w:t>
      </w:r>
      <w:r>
        <w:rPr>
          <w:rStyle w:val="FootnoteReference"/>
        </w:rPr>
        <w:footnoteReference w:id="2"/>
      </w:r>
      <w:r w:rsidR="00CE7DAF">
        <w:t xml:space="preserve"> </w:t>
      </w:r>
      <w:r w:rsidR="00464EFF">
        <w:t xml:space="preserve"> </w:t>
      </w:r>
    </w:p>
    <w:p w:rsidR="00357925" w:rsidP="006B7680" w14:paraId="231CA300" w14:textId="77777777">
      <w:pPr>
        <w:spacing w:after="0" w:line="240" w:lineRule="auto"/>
      </w:pPr>
    </w:p>
    <w:p w:rsidR="00117E12" w:rsidP="006B7680" w14:paraId="137DBFFC" w14:textId="087385D8">
      <w:pPr>
        <w:spacing w:after="0" w:line="240" w:lineRule="auto"/>
      </w:pPr>
      <w:r>
        <w:t xml:space="preserve">Unfortunately, the DC Circuit victory did not stem that tide, as a patchwork of interpretations by both </w:t>
      </w:r>
      <w:r w:rsidR="0087314B">
        <w:t xml:space="preserve">federal </w:t>
      </w:r>
      <w:r>
        <w:t>circuit and district courts flowed in response</w:t>
      </w:r>
      <w:r w:rsidR="00C94F17">
        <w:t xml:space="preserve">, including those that </w:t>
      </w:r>
      <w:r w:rsidR="00C767D9">
        <w:t xml:space="preserve">illogically </w:t>
      </w:r>
      <w:r w:rsidR="00C94F17">
        <w:t xml:space="preserve">found the FCC’s 2003 and 2008 orders defining an ATDS </w:t>
      </w:r>
      <w:r w:rsidR="00AC7FCF">
        <w:t>to be controlling</w:t>
      </w:r>
      <w:r w:rsidR="00C94F17">
        <w:t xml:space="preserve"> post-</w:t>
      </w:r>
      <w:r w:rsidRPr="003B6B01" w:rsidR="00C94F17">
        <w:rPr>
          <w:i/>
        </w:rPr>
        <w:t>ACA</w:t>
      </w:r>
      <w:r w:rsidR="00C94F17">
        <w:t>.  And</w:t>
      </w:r>
      <w:r w:rsidR="001B11AF">
        <w:t>,</w:t>
      </w:r>
      <w:r w:rsidR="00C94F17">
        <w:t xml:space="preserve"> that just pales in comparison to the medley of courts that have chosen to ignore the DC Circuit and instead follow the 9</w:t>
      </w:r>
      <w:r w:rsidRPr="00C94F17" w:rsidR="00C94F17">
        <w:rPr>
          <w:vertAlign w:val="superscript"/>
        </w:rPr>
        <w:t>th</w:t>
      </w:r>
      <w:r w:rsidR="00C94F17">
        <w:t xml:space="preserve"> Circuit’s extremely misguided and breathtakingly expansive definition of ATDS as a device that stores numbers to be called, irrespective of whether they have been generated by a random or sequential number generator.  </w:t>
      </w:r>
      <w:r w:rsidR="009F65CD">
        <w:t>(Statutory text?  What statutory text?)  Now</w:t>
      </w:r>
      <w:r w:rsidR="001B11AF">
        <w:t>,</w:t>
      </w:r>
      <w:r w:rsidR="009F65CD">
        <w:t xml:space="preserve"> with the Fourth Circuit’s recent decision to declare the government-backed debt exemption facially unconstitutional and sever it from the statute, practically no calls—not even those to collect debts owed to or guaranteed by taxpayers—are beyond the claws of unscrupulous plaintiffs’ lawyers.</w:t>
      </w:r>
      <w:r w:rsidR="003E75A5">
        <w:t xml:space="preserve">  What a mess.</w:t>
      </w:r>
      <w:r w:rsidR="004525FB">
        <w:t xml:space="preserve"> </w:t>
      </w:r>
      <w:r w:rsidR="003E75A5">
        <w:t xml:space="preserve">  </w:t>
      </w:r>
    </w:p>
    <w:p w:rsidR="006B7680" w:rsidP="006B7680" w14:paraId="0FD94BCB" w14:textId="77777777">
      <w:pPr>
        <w:spacing w:after="0" w:line="240" w:lineRule="auto"/>
      </w:pPr>
    </w:p>
    <w:p w:rsidR="004503E2" w:rsidP="008B170C" w14:paraId="5A3AF080" w14:textId="00830D9B">
      <w:pPr>
        <w:spacing w:after="0" w:line="240" w:lineRule="auto"/>
        <w:rPr>
          <w:i/>
        </w:rPr>
      </w:pPr>
      <w:r>
        <w:rPr>
          <w:i/>
        </w:rPr>
        <w:t>Finish</w:t>
      </w:r>
      <w:r w:rsidR="00816B84">
        <w:rPr>
          <w:i/>
        </w:rPr>
        <w:t>ing</w:t>
      </w:r>
      <w:r>
        <w:rPr>
          <w:i/>
        </w:rPr>
        <w:t xml:space="preserve"> the Pending</w:t>
      </w:r>
      <w:r>
        <w:rPr>
          <w:i/>
        </w:rPr>
        <w:t xml:space="preserve"> Rulemaking</w:t>
      </w:r>
    </w:p>
    <w:p w:rsidR="008B170C" w:rsidRPr="004503E2" w:rsidP="008B170C" w14:paraId="127DF507" w14:textId="77777777">
      <w:pPr>
        <w:spacing w:after="0" w:line="240" w:lineRule="auto"/>
        <w:rPr>
          <w:i/>
        </w:rPr>
      </w:pPr>
    </w:p>
    <w:p w:rsidR="009F65CD" w:rsidP="008B170C" w14:paraId="2229430E" w14:textId="33F4DC28">
      <w:pPr>
        <w:spacing w:after="0" w:line="240" w:lineRule="auto"/>
      </w:pPr>
      <w:r>
        <w:t xml:space="preserve">Now, more than ever, it’s crucial that we get the rulemaking done, and </w:t>
      </w:r>
      <w:r w:rsidR="00013F6F">
        <w:t xml:space="preserve">ensure that </w:t>
      </w:r>
      <w:r>
        <w:t xml:space="preserve">honest businesses </w:t>
      </w:r>
      <w:r w:rsidR="00013F6F">
        <w:t>can call their customers without being threatened by bankruptcy</w:t>
      </w:r>
      <w:r>
        <w:t>.  The cottage industry of TCPA litigants isn’t picky in terms of who</w:t>
      </w:r>
      <w:r w:rsidR="006159A5">
        <w:t>m</w:t>
      </w:r>
      <w:r>
        <w:t xml:space="preserve"> it targets; everyone from mom and pop home security companies, to </w:t>
      </w:r>
      <w:r w:rsidR="006159A5">
        <w:t>the Humane Society</w:t>
      </w:r>
      <w:r w:rsidR="00564455">
        <w:t>,</w:t>
      </w:r>
      <w:r>
        <w:t xml:space="preserve"> has fallen victim.  And</w:t>
      </w:r>
      <w:r w:rsidR="006159A5">
        <w:t>,</w:t>
      </w:r>
      <w:r>
        <w:t xml:space="preserve"> it’s not consumers who ultimately reap the proceeds of judgments and settlements</w:t>
      </w:r>
      <w:r w:rsidR="00C46556">
        <w:t>, but attorneys</w:t>
      </w:r>
      <w:r>
        <w:t xml:space="preserve">; the </w:t>
      </w:r>
      <w:r w:rsidRPr="008658CD">
        <w:rPr>
          <w:rStyle w:val="Hyperlink"/>
          <w:color w:val="auto"/>
          <w:u w:val="none"/>
        </w:rPr>
        <w:t>average recovery</w:t>
      </w:r>
      <w:r w:rsidRPr="008658CD">
        <w:t xml:space="preserve"> </w:t>
      </w:r>
      <w:r>
        <w:t xml:space="preserve">for TCPA class members is </w:t>
      </w:r>
      <w:r w:rsidR="006159A5">
        <w:t>a few measly dollars</w:t>
      </w:r>
      <w:r>
        <w:t xml:space="preserve">, whereas the average recovery for a plaintiff’s </w:t>
      </w:r>
      <w:r w:rsidR="00013F6F">
        <w:t xml:space="preserve">lawyer is </w:t>
      </w:r>
      <w:r w:rsidR="006159A5">
        <w:t>well over $2 million</w:t>
      </w:r>
      <w:r w:rsidR="00013F6F">
        <w:t>.</w:t>
      </w:r>
      <w:r>
        <w:rPr>
          <w:rStyle w:val="FootnoteReference"/>
        </w:rPr>
        <w:footnoteReference w:id="3"/>
      </w:r>
      <w:r w:rsidR="00013F6F">
        <w:t xml:space="preserve"> </w:t>
      </w:r>
    </w:p>
    <w:p w:rsidR="006A5F6F" w:rsidP="006A5F6F" w14:paraId="740AD92E" w14:textId="77777777">
      <w:pPr>
        <w:spacing w:after="0" w:line="240" w:lineRule="auto"/>
      </w:pPr>
    </w:p>
    <w:p w:rsidR="00013F6F" w:rsidP="005D563E" w14:paraId="23FE40C9" w14:textId="7F743DA1">
      <w:pPr>
        <w:spacing w:after="0" w:line="240" w:lineRule="auto"/>
      </w:pPr>
      <w:r>
        <w:t>The consequences of a failure to act are dire for consumers as well.</w:t>
      </w:r>
      <w:r>
        <w:t xml:space="preserve">  I’ve had countless businesses come into my office to tell me that it’s now too risky to call their customers and provide them with critical and </w:t>
      </w:r>
      <w:r>
        <w:t xml:space="preserve">time-sensitive information.  These are not entities randomly </w:t>
      </w:r>
      <w:r w:rsidR="001A7E98">
        <w:t>soliciting</w:t>
      </w:r>
      <w:r>
        <w:t xml:space="preserve"> strangers and creating a nuisance, or even telemarketing</w:t>
      </w:r>
      <w:r w:rsidR="00CA0E7F">
        <w:t>—</w:t>
      </w:r>
      <w:r w:rsidR="00881E62">
        <w:t>as</w:t>
      </w:r>
      <w:r w:rsidR="00CA0E7F">
        <w:t xml:space="preserve"> </w:t>
      </w:r>
      <w:r w:rsidR="00881E62">
        <w:t>if that’s a terrible thing</w:t>
      </w:r>
      <w:r w:rsidR="00CA0E7F">
        <w:t>—</w:t>
      </w:r>
      <w:r>
        <w:t>but providing data security breach notifications, prescription refill reminders, bill due date notices, school closure alerts, and notices of flight schedule changes.  Others have told me that they are only making landline calls, excluding</w:t>
      </w:r>
      <w:r w:rsidR="000B4140">
        <w:t xml:space="preserve"> </w:t>
      </w:r>
      <w:r>
        <w:t xml:space="preserve">texts and calls </w:t>
      </w:r>
      <w:r w:rsidR="0017330F">
        <w:t xml:space="preserve">altogether </w:t>
      </w:r>
      <w:r>
        <w:t>to wireless-only consumers, an increasing segment of the population.  That chilling effect causes disparate harm to th</w:t>
      </w:r>
      <w:r w:rsidR="00C46556">
        <w:t>e latter</w:t>
      </w:r>
      <w:r>
        <w:t xml:space="preserve"> segment of consumers, who are more likely to be younger and lower-income.</w:t>
      </w:r>
    </w:p>
    <w:p w:rsidR="006A5F6F" w:rsidP="005D563E" w14:paraId="2FF796BA" w14:textId="18C4FF52">
      <w:pPr>
        <w:spacing w:after="0" w:line="240" w:lineRule="auto"/>
      </w:pPr>
    </w:p>
    <w:p w:rsidR="003E75A5" w:rsidP="005D563E" w14:paraId="588398EC" w14:textId="69E74F58">
      <w:pPr>
        <w:spacing w:after="0" w:line="240" w:lineRule="auto"/>
      </w:pPr>
      <w:r>
        <w:t xml:space="preserve">To be clear, the Commission is not sitting on its hands unaware of the TCPA debates brewing in the courts and </w:t>
      </w:r>
      <w:r w:rsidR="00AD01F8">
        <w:t xml:space="preserve">affected </w:t>
      </w:r>
      <w:r>
        <w:t xml:space="preserve">boardrooms.  </w:t>
      </w:r>
      <w:r w:rsidR="006E2738">
        <w:t>But</w:t>
      </w:r>
      <w:r w:rsidR="00CA0E7F">
        <w:t>,</w:t>
      </w:r>
      <w:r>
        <w:t xml:space="preserve"> we are a busy agency.  Under this Chairman, we have been </w:t>
      </w:r>
      <w:r w:rsidR="00AC7FCF">
        <w:t xml:space="preserve">extremely </w:t>
      </w:r>
      <w:r>
        <w:t xml:space="preserve">focused on moving an aggressive, deregulatory, pro-consumer agenda that reflects </w:t>
      </w:r>
      <w:r w:rsidR="00AD01F8">
        <w:t xml:space="preserve">current </w:t>
      </w:r>
      <w:r>
        <w:t>market realities.</w:t>
      </w:r>
      <w:r w:rsidR="00AD01F8">
        <w:t xml:space="preserve">  Failure to address TCPA is not a failure of leadership, nor can the blame be placed on Chairman Pai.  Instead, the </w:t>
      </w:r>
      <w:r w:rsidR="008044DE">
        <w:t>onus</w:t>
      </w:r>
      <w:r w:rsidR="00AD01F8">
        <w:t xml:space="preserve"> i</w:t>
      </w:r>
      <w:r w:rsidR="008F40DF">
        <w:t>s</w:t>
      </w:r>
      <w:r w:rsidR="00AD01F8">
        <w:t xml:space="preserve"> on you and others to raise</w:t>
      </w:r>
      <w:r w:rsidR="008F40DF">
        <w:t xml:space="preserve"> awareness of</w:t>
      </w:r>
      <w:r w:rsidR="00AD01F8">
        <w:t xml:space="preserve"> the need </w:t>
      </w:r>
      <w:r w:rsidR="00AC7FCF">
        <w:t xml:space="preserve">for </w:t>
      </w:r>
      <w:r w:rsidR="00AD01F8">
        <w:t xml:space="preserve">corrective actions </w:t>
      </w:r>
      <w:r w:rsidR="008044DE">
        <w:t xml:space="preserve">to </w:t>
      </w:r>
      <w:r w:rsidR="00AD01F8">
        <w:t xml:space="preserve">a much, much </w:t>
      </w:r>
      <w:r w:rsidR="008044DE">
        <w:t>greater extent</w:t>
      </w:r>
      <w:r w:rsidR="00AD01F8">
        <w:t xml:space="preserve">.  </w:t>
      </w:r>
      <w:r w:rsidR="002B6EF4">
        <w:t>While</w:t>
      </w:r>
      <w:r w:rsidR="00AD01F8">
        <w:t xml:space="preserve"> I am already convinced of the need to act</w:t>
      </w:r>
      <w:r w:rsidR="002B6EF4">
        <w:t xml:space="preserve"> and</w:t>
      </w:r>
      <w:r w:rsidR="00AD01F8">
        <w:t xml:space="preserve"> can help somewhat, it’s your job to convince my colleagues and </w:t>
      </w:r>
      <w:r w:rsidR="008044DE">
        <w:t>agency</w:t>
      </w:r>
      <w:r w:rsidR="00AD01F8">
        <w:t xml:space="preserve"> staff to do so.  May I humbly suggest that </w:t>
      </w:r>
      <w:r w:rsidR="00920949">
        <w:t>the advocacy of</w:t>
      </w:r>
      <w:r w:rsidR="008044DE">
        <w:t xml:space="preserve"> one</w:t>
      </w:r>
      <w:r w:rsidR="00920949">
        <w:t xml:space="preserve"> lone</w:t>
      </w:r>
      <w:r w:rsidR="008044DE">
        <w:t xml:space="preserve"> industry </w:t>
      </w:r>
      <w:r w:rsidR="00920949">
        <w:t>will not be enough</w:t>
      </w:r>
      <w:r w:rsidR="003B66AF">
        <w:t xml:space="preserve"> to</w:t>
      </w:r>
      <w:r w:rsidR="00CA0E7F">
        <w:t xml:space="preserve"> truly</w:t>
      </w:r>
      <w:r w:rsidR="003B66AF">
        <w:t xml:space="preserve"> move the needle</w:t>
      </w:r>
      <w:r w:rsidR="00AD01F8">
        <w:t xml:space="preserve">.  </w:t>
      </w:r>
      <w:r w:rsidR="003B66AF">
        <w:t xml:space="preserve">It </w:t>
      </w:r>
      <w:r w:rsidR="00920949">
        <w:t xml:space="preserve">will take extensive cooperation and collaboration </w:t>
      </w:r>
      <w:r w:rsidR="00AD01F8">
        <w:t>with everyone</w:t>
      </w:r>
      <w:r w:rsidR="00920949">
        <w:t xml:space="preserve"> else</w:t>
      </w:r>
      <w:r w:rsidR="00AD01F8">
        <w:t xml:space="preserve"> caught in the TCPA spider web</w:t>
      </w:r>
      <w:r w:rsidR="00920949">
        <w:t xml:space="preserve">, </w:t>
      </w:r>
      <w:r w:rsidR="000B411E">
        <w:t>scream</w:t>
      </w:r>
      <w:r w:rsidR="00920949">
        <w:t>ing</w:t>
      </w:r>
      <w:r w:rsidR="000B411E">
        <w:t xml:space="preserve"> the same message at </w:t>
      </w:r>
      <w:r w:rsidR="00920949">
        <w:t xml:space="preserve">the same </w:t>
      </w:r>
      <w:r w:rsidR="008044DE">
        <w:t>fever</w:t>
      </w:r>
      <w:r w:rsidR="000B411E">
        <w:t xml:space="preserve"> pitch.  </w:t>
      </w:r>
      <w:r w:rsidR="00AD01F8">
        <w:t xml:space="preserve"> </w:t>
      </w:r>
    </w:p>
    <w:p w:rsidR="003E75A5" w:rsidP="005D563E" w14:paraId="32470CFB" w14:textId="77777777">
      <w:pPr>
        <w:spacing w:after="0" w:line="240" w:lineRule="auto"/>
      </w:pPr>
    </w:p>
    <w:p w:rsidR="003E75A5" w:rsidRPr="00F56CDD" w:rsidP="005D563E" w14:paraId="7B75AC2F" w14:textId="7512F28D">
      <w:pPr>
        <w:spacing w:after="0" w:line="240" w:lineRule="auto"/>
        <w:rPr>
          <w:i/>
        </w:rPr>
      </w:pPr>
      <w:r w:rsidRPr="00F56CDD">
        <w:rPr>
          <w:i/>
        </w:rPr>
        <w:t xml:space="preserve">Terminology </w:t>
      </w:r>
      <w:r w:rsidR="00A4258F">
        <w:rPr>
          <w:i/>
        </w:rPr>
        <w:t>and</w:t>
      </w:r>
      <w:r w:rsidRPr="00F56CDD">
        <w:rPr>
          <w:i/>
        </w:rPr>
        <w:t xml:space="preserve"> </w:t>
      </w:r>
      <w:r w:rsidRPr="00F56CDD" w:rsidR="008F40DF">
        <w:rPr>
          <w:i/>
        </w:rPr>
        <w:t>Priorities</w:t>
      </w:r>
      <w:r w:rsidRPr="00F56CDD">
        <w:rPr>
          <w:i/>
        </w:rPr>
        <w:t xml:space="preserve"> Matter</w:t>
      </w:r>
    </w:p>
    <w:p w:rsidR="003E75A5" w:rsidP="005D563E" w14:paraId="0B8A4156" w14:textId="77777777">
      <w:pPr>
        <w:spacing w:after="0" w:line="240" w:lineRule="auto"/>
      </w:pPr>
    </w:p>
    <w:p w:rsidR="009F65CD" w:rsidP="005D563E" w14:paraId="6C082A8B" w14:textId="6650D0AE">
      <w:pPr>
        <w:spacing w:after="0" w:line="240" w:lineRule="auto"/>
      </w:pPr>
      <w:r>
        <w:t xml:space="preserve">Repeat after me: </w:t>
      </w:r>
      <w:r w:rsidR="002F4A46">
        <w:t>“</w:t>
      </w:r>
      <w:r>
        <w:t>robocall</w:t>
      </w:r>
      <w:r w:rsidR="002F4A46">
        <w:t>”</w:t>
      </w:r>
      <w:r>
        <w:t xml:space="preserve"> is not a bad word.  </w:t>
      </w:r>
      <w:r w:rsidR="0019257D">
        <w:t xml:space="preserve">There are good and legal robocalls, and there are scam and </w:t>
      </w:r>
      <w:r w:rsidRPr="0019257D" w:rsidR="0019257D">
        <w:t>illegal</w:t>
      </w:r>
      <w:r w:rsidR="0019257D">
        <w:t xml:space="preserve"> robocalls, and it’s the latter that are wreaking havoc on the nation’s communications networks.  Let’s face it: </w:t>
      </w:r>
      <w:r>
        <w:t>information is</w:t>
      </w:r>
      <w:r w:rsidR="00564455">
        <w:t xml:space="preserve"> </w:t>
      </w:r>
      <w:r w:rsidR="00C46556">
        <w:t xml:space="preserve">often </w:t>
      </w:r>
      <w:r>
        <w:t>better</w:t>
      </w:r>
      <w:r w:rsidR="006F5E34">
        <w:t xml:space="preserve"> and more accurately </w:t>
      </w:r>
      <w:r>
        <w:t xml:space="preserve">conveyed by dialing automatically from a list or through pre-recorded messages </w:t>
      </w:r>
      <w:r w:rsidR="00564455">
        <w:t xml:space="preserve">rather </w:t>
      </w:r>
      <w:r>
        <w:t>than</w:t>
      </w:r>
      <w:r w:rsidR="00564455">
        <w:t xml:space="preserve"> through</w:t>
      </w:r>
      <w:r>
        <w:t xml:space="preserve"> a live operator</w:t>
      </w:r>
      <w:r w:rsidR="00BE471C">
        <w:t>.  Moreover, the use of automated technology</w:t>
      </w:r>
      <w:r w:rsidR="003E75A5">
        <w:t xml:space="preserve"> </w:t>
      </w:r>
      <w:r w:rsidR="003B66AF">
        <w:t>generally translates into lower costs, freeing up</w:t>
      </w:r>
      <w:r w:rsidR="003E75A5">
        <w:t xml:space="preserve"> </w:t>
      </w:r>
      <w:r w:rsidR="003B66AF">
        <w:t>resources</w:t>
      </w:r>
      <w:r w:rsidR="003E75A5">
        <w:t xml:space="preserve"> </w:t>
      </w:r>
      <w:r w:rsidR="003B66AF">
        <w:t xml:space="preserve">for </w:t>
      </w:r>
      <w:r w:rsidR="00BE471C">
        <w:t>more efficient</w:t>
      </w:r>
      <w:r w:rsidR="003B66AF">
        <w:t xml:space="preserve"> uses</w:t>
      </w:r>
      <w:r w:rsidR="003E75A5">
        <w:t xml:space="preserve">, including lower prices.  </w:t>
      </w:r>
      <w:r w:rsidR="0019257D">
        <w:t xml:space="preserve">Regulators and lawmakers need to </w:t>
      </w:r>
      <w:r w:rsidR="00BE471C">
        <w:t xml:space="preserve">stop vilifying automated calls and </w:t>
      </w:r>
      <w:r w:rsidR="0019257D">
        <w:t xml:space="preserve">be clear and precise about the </w:t>
      </w:r>
      <w:r w:rsidR="002F4A46">
        <w:t xml:space="preserve">problem </w:t>
      </w:r>
      <w:r w:rsidR="000B4140">
        <w:t xml:space="preserve">and the actors </w:t>
      </w:r>
      <w:r w:rsidR="002F4A46">
        <w:t>we are addressing</w:t>
      </w:r>
      <w:r w:rsidR="0019257D">
        <w:t xml:space="preserve">: </w:t>
      </w:r>
      <w:r w:rsidR="008832F7">
        <w:t xml:space="preserve">in other words, </w:t>
      </w:r>
      <w:r>
        <w:t xml:space="preserve">the scammers, neighborhood </w:t>
      </w:r>
      <w:r>
        <w:t>spoofers</w:t>
      </w:r>
      <w:r>
        <w:t>,</w:t>
      </w:r>
      <w:r w:rsidR="002F4A46">
        <w:t xml:space="preserve"> overseas criminals,</w:t>
      </w:r>
      <w:r>
        <w:t xml:space="preserve"> </w:t>
      </w:r>
      <w:r w:rsidR="008832F7">
        <w:t>and</w:t>
      </w:r>
      <w:r>
        <w:t xml:space="preserve"> phone number harvesters</w:t>
      </w:r>
      <w:r w:rsidR="008832F7">
        <w:t xml:space="preserve">, some of whom are not </w:t>
      </w:r>
      <w:r w:rsidR="00062F60">
        <w:t xml:space="preserve">even </w:t>
      </w:r>
      <w:r w:rsidR="008832F7">
        <w:t xml:space="preserve">necessarily </w:t>
      </w:r>
      <w:r w:rsidR="002F4A46">
        <w:t xml:space="preserve">engaged in </w:t>
      </w:r>
      <w:r w:rsidR="008832F7">
        <w:t>robocall</w:t>
      </w:r>
      <w:r w:rsidR="002F4A46">
        <w:t>ing</w:t>
      </w:r>
      <w:r>
        <w:t>.</w:t>
      </w:r>
      <w:r w:rsidR="00564455">
        <w:t xml:space="preserve"> </w:t>
      </w:r>
      <w:r w:rsidR="008832F7">
        <w:t xml:space="preserve"> An </w:t>
      </w:r>
      <w:r w:rsidR="000B4140">
        <w:t xml:space="preserve">overly-expansive </w:t>
      </w:r>
      <w:r w:rsidR="008832F7">
        <w:t>definition of ATDS does absolutely nothing to deter or prevent these criminals</w:t>
      </w:r>
      <w:r w:rsidR="00687780">
        <w:t>.</w:t>
      </w:r>
      <w:r w:rsidR="008832F7">
        <w:t xml:space="preserve"> </w:t>
      </w:r>
      <w:r w:rsidR="00687780">
        <w:t xml:space="preserve"> I</w:t>
      </w:r>
      <w:r w:rsidR="00564455">
        <w:t xml:space="preserve">f anything, </w:t>
      </w:r>
      <w:r w:rsidR="000B4140">
        <w:t>it</w:t>
      </w:r>
      <w:r w:rsidR="00564455">
        <w:t xml:space="preserve"> ignores and distracts from the </w:t>
      </w:r>
      <w:r w:rsidR="0012288D">
        <w:t>true</w:t>
      </w:r>
      <w:r w:rsidR="00AC7FCF">
        <w:t xml:space="preserve"> menace</w:t>
      </w:r>
      <w:r w:rsidR="008832F7">
        <w:t xml:space="preserve"> </w:t>
      </w:r>
      <w:r w:rsidR="00AC7FCF">
        <w:t xml:space="preserve">confronting </w:t>
      </w:r>
      <w:r w:rsidR="008832F7">
        <w:t>our nation</w:t>
      </w:r>
      <w:r w:rsidR="00564455">
        <w:t>.</w:t>
      </w:r>
    </w:p>
    <w:p w:rsidR="006A5F6F" w:rsidP="005D563E" w14:paraId="61F9ADE4" w14:textId="77777777">
      <w:pPr>
        <w:spacing w:after="0" w:line="240" w:lineRule="auto"/>
      </w:pPr>
    </w:p>
    <w:p w:rsidR="00987A9B" w:rsidP="005D563E" w14:paraId="10551A4C" w14:textId="2909ECD6">
      <w:pPr>
        <w:spacing w:after="0" w:line="240" w:lineRule="auto"/>
      </w:pPr>
      <w:r>
        <w:t xml:space="preserve">However, for those who profit from predatory lawsuits, there’s an obvious benefit in using the same robocall terminology to describe all automatic dialers and capturing legitimate US businesses in gotcha regulation purportedly targeting scammers.  It’s so much easier to sue the </w:t>
      </w:r>
      <w:r w:rsidR="008309FE">
        <w:t>good guys</w:t>
      </w:r>
      <w:r>
        <w:t xml:space="preserve"> than the </w:t>
      </w:r>
      <w:r w:rsidR="008309FE">
        <w:t>bad guys</w:t>
      </w:r>
      <w:r>
        <w:t>.  But, by interpreting TCPA language so expansively, we don’t</w:t>
      </w:r>
      <w:r w:rsidR="00AC7FCF">
        <w:t xml:space="preserve"> </w:t>
      </w:r>
      <w:r>
        <w:t>make a dent in the real problem, and</w:t>
      </w:r>
      <w:r w:rsidR="000B4140">
        <w:t xml:space="preserve"> </w:t>
      </w:r>
      <w:r w:rsidR="00741B7B">
        <w:t>may even</w:t>
      </w:r>
      <w:r>
        <w:t xml:space="preserve"> make it worse.  In fact, according to </w:t>
      </w:r>
      <w:r w:rsidR="003D2C16">
        <w:t xml:space="preserve">so-called comedian </w:t>
      </w:r>
      <w:r>
        <w:t xml:space="preserve">John Oliver’s </w:t>
      </w:r>
      <w:r w:rsidRPr="008658CD">
        <w:rPr>
          <w:rStyle w:val="Hyperlink"/>
          <w:color w:val="auto"/>
          <w:u w:val="none"/>
        </w:rPr>
        <w:t>own statistics</w:t>
      </w:r>
      <w:r>
        <w:t xml:space="preserve">, in the aftermath of the 2015 FCC Omnibus Order expanding TCPA liability, </w:t>
      </w:r>
      <w:r w:rsidRPr="00AB28A6">
        <w:t xml:space="preserve">illegal </w:t>
      </w:r>
      <w:r>
        <w:t>robocalls exploded.</w:t>
      </w:r>
      <w:r>
        <w:rPr>
          <w:rStyle w:val="FootnoteReference"/>
        </w:rPr>
        <w:footnoteReference w:id="4"/>
      </w:r>
      <w:r>
        <w:t xml:space="preserve">  </w:t>
      </w:r>
      <w:r w:rsidR="003D2C16">
        <w:t>Yet, d</w:t>
      </w:r>
      <w:r>
        <w:t xml:space="preserve">ue to our own policy failure, lawyers and courts were too busy chasing after </w:t>
      </w:r>
      <w:r w:rsidR="00A60996">
        <w:t>legitimate companies</w:t>
      </w:r>
      <w:r>
        <w:t xml:space="preserve"> and </w:t>
      </w:r>
      <w:r w:rsidR="000B4140">
        <w:t>driving</w:t>
      </w:r>
      <w:r>
        <w:t xml:space="preserve"> them out of business.</w:t>
      </w:r>
    </w:p>
    <w:p w:rsidR="006A5F6F" w:rsidP="005D563E" w14:paraId="4FC017EC" w14:textId="77777777">
      <w:pPr>
        <w:spacing w:after="0" w:line="240" w:lineRule="auto"/>
      </w:pPr>
    </w:p>
    <w:p w:rsidR="008120C2" w:rsidP="005D563E" w14:paraId="2BDE9C91" w14:textId="4562825F">
      <w:pPr>
        <w:spacing w:after="0" w:line="240" w:lineRule="auto"/>
      </w:pPr>
      <w:r>
        <w:t xml:space="preserve">I would also be remiss if I didn’t address a certain misleading narrative being peddled by certain groups purporting to represent consumer interests: that the vast majority of robocalls in the US are perpetrated </w:t>
      </w:r>
      <w:r>
        <w:t xml:space="preserve">by US corporations, and that </w:t>
      </w:r>
      <w:r w:rsidRPr="008658CD" w:rsidR="00687780">
        <w:rPr>
          <w:rStyle w:val="Hyperlink"/>
          <w:color w:val="auto"/>
          <w:u w:val="none"/>
        </w:rPr>
        <w:t>17</w:t>
      </w:r>
      <w:r w:rsidRPr="008658CD">
        <w:rPr>
          <w:rStyle w:val="Hyperlink"/>
          <w:color w:val="auto"/>
          <w:u w:val="none"/>
        </w:rPr>
        <w:t xml:space="preserve"> of the top 20 </w:t>
      </w:r>
      <w:r w:rsidRPr="008658CD">
        <w:rPr>
          <w:rStyle w:val="Hyperlink"/>
          <w:color w:val="auto"/>
          <w:u w:val="none"/>
        </w:rPr>
        <w:t>robocallers</w:t>
      </w:r>
      <w:r w:rsidRPr="008658CD">
        <w:t xml:space="preserve"> </w:t>
      </w:r>
      <w:r>
        <w:t>are debt collectors.</w:t>
      </w:r>
      <w:r>
        <w:rPr>
          <w:rStyle w:val="FootnoteReference"/>
        </w:rPr>
        <w:footnoteReference w:id="5"/>
      </w:r>
      <w:r>
        <w:t xml:space="preserve">  That statistic, however,</w:t>
      </w:r>
      <w:r>
        <w:t xml:space="preserve"> is</w:t>
      </w:r>
      <w:r>
        <w:t xml:space="preserve"> based on data that </w:t>
      </w:r>
      <w:r>
        <w:t xml:space="preserve">does not </w:t>
      </w:r>
      <w:r w:rsidR="00385B0C">
        <w:t xml:space="preserve">distinguish </w:t>
      </w:r>
      <w:r>
        <w:t xml:space="preserve">legitimate wanted </w:t>
      </w:r>
      <w:r>
        <w:t>calls from unwanted</w:t>
      </w:r>
      <w:r w:rsidR="00AC7FCF">
        <w:t xml:space="preserve"> scam</w:t>
      </w:r>
      <w:r>
        <w:t xml:space="preserve"> calls, </w:t>
      </w:r>
      <w:r w:rsidR="007E7899">
        <w:t xml:space="preserve">and </w:t>
      </w:r>
      <w:r w:rsidR="002A6B10">
        <w:t>instead lump</w:t>
      </w:r>
      <w:r w:rsidR="007E7899">
        <w:t>s</w:t>
      </w:r>
      <w:r>
        <w:t xml:space="preserve"> together </w:t>
      </w:r>
      <w:r w:rsidRPr="00385B0C">
        <w:rPr>
          <w:i/>
        </w:rPr>
        <w:t>all</w:t>
      </w:r>
      <w:r>
        <w:t xml:space="preserve"> calls that are automatically dialed</w:t>
      </w:r>
      <w:r w:rsidR="002A6B10">
        <w:t>.  I</w:t>
      </w:r>
      <w:r w:rsidR="00385B0C">
        <w:t xml:space="preserve">n other words, a legitimate fraud </w:t>
      </w:r>
      <w:r w:rsidR="00C14491">
        <w:t>alert</w:t>
      </w:r>
      <w:r w:rsidR="00385B0C">
        <w:t xml:space="preserve"> is treated the same as an IRS scam call</w:t>
      </w:r>
      <w:r>
        <w:t xml:space="preserve">. </w:t>
      </w:r>
      <w:r w:rsidR="00385B0C">
        <w:t xml:space="preserve"> While I’m not casting aspersions on the veracity of this data point, it does not convey useful information from a regulatory point of view and relying on it to </w:t>
      </w:r>
      <w:r w:rsidR="00C46556">
        <w:t>advocate</w:t>
      </w:r>
      <w:r w:rsidR="00385B0C">
        <w:t xml:space="preserve"> a policy outcome is extremely misleading. </w:t>
      </w:r>
    </w:p>
    <w:p w:rsidR="00C07B26" w:rsidP="00B43286" w14:paraId="747FB990" w14:textId="77777777">
      <w:pPr>
        <w:spacing w:after="0" w:line="240" w:lineRule="auto"/>
      </w:pPr>
    </w:p>
    <w:p w:rsidR="002F4A46" w:rsidP="00B43286" w14:paraId="1629410B" w14:textId="6F304436">
      <w:pPr>
        <w:spacing w:after="0" w:line="240" w:lineRule="auto"/>
      </w:pPr>
      <w:r>
        <w:t xml:space="preserve">In fact, a deeper dive reveals that debt collection calls, which are already highly regulated outside of the TCPA, </w:t>
      </w:r>
      <w:r>
        <w:t>actually represent</w:t>
      </w:r>
      <w:r>
        <w:t xml:space="preserve"> </w:t>
      </w:r>
      <w:r w:rsidRPr="008658CD">
        <w:rPr>
          <w:rStyle w:val="Hyperlink"/>
          <w:color w:val="auto"/>
          <w:u w:val="none"/>
        </w:rPr>
        <w:t>just 2</w:t>
      </w:r>
      <w:r w:rsidR="00A7108A">
        <w:rPr>
          <w:rStyle w:val="Hyperlink"/>
          <w:color w:val="auto"/>
          <w:u w:val="none"/>
        </w:rPr>
        <w:t xml:space="preserve"> percent</w:t>
      </w:r>
      <w:r w:rsidRPr="008658CD" w:rsidR="00A7108A">
        <w:t xml:space="preserve"> </w:t>
      </w:r>
      <w:r>
        <w:t>of unwanted calls.</w:t>
      </w:r>
      <w:r>
        <w:rPr>
          <w:rStyle w:val="FootnoteReference"/>
        </w:rPr>
        <w:footnoteReference w:id="6"/>
      </w:r>
      <w:r w:rsidR="00385B0C">
        <w:t xml:space="preserve">  And, it makes a lot of sense that this number would be so low: </w:t>
      </w:r>
      <w:r w:rsidR="006F5E34">
        <w:t xml:space="preserve">consumers generally don’t want to miss out on debt collection notices.  They </w:t>
      </w:r>
      <w:r w:rsidR="00E679B5">
        <w:t>want to receive</w:t>
      </w:r>
      <w:r w:rsidR="006F5E34">
        <w:t xml:space="preserve"> information that would help </w:t>
      </w:r>
      <w:r w:rsidR="00E679B5">
        <w:t xml:space="preserve">them </w:t>
      </w:r>
      <w:r w:rsidR="006F5E34">
        <w:t xml:space="preserve">prevent delinquency and default, having their utilities cut, or their credit </w:t>
      </w:r>
      <w:r w:rsidR="002A6B10">
        <w:t xml:space="preserve">scores </w:t>
      </w:r>
      <w:r w:rsidR="006F5E34">
        <w:t>plummet.</w:t>
      </w:r>
      <w:r w:rsidR="00987A9B">
        <w:t xml:space="preserve">  But many </w:t>
      </w:r>
      <w:r w:rsidR="002A6B10">
        <w:t xml:space="preserve">businesses </w:t>
      </w:r>
      <w:r w:rsidR="00987A9B">
        <w:t>have stopped making these crucial calls because the risk is too great.</w:t>
      </w:r>
    </w:p>
    <w:p w:rsidR="00B43286" w:rsidP="00B43286" w14:paraId="21C12705" w14:textId="77777777">
      <w:pPr>
        <w:spacing w:after="0" w:line="240" w:lineRule="auto"/>
      </w:pPr>
    </w:p>
    <w:p w:rsidR="00B60FA0" w:rsidRPr="002F08D1" w:rsidP="00B43286" w14:paraId="0719AD61" w14:textId="2880A6E0">
      <w:pPr>
        <w:spacing w:after="0" w:line="240" w:lineRule="auto"/>
      </w:pPr>
      <w:r>
        <w:t>This needs to change.  We need to</w:t>
      </w:r>
      <w:r w:rsidR="00987A9B">
        <w:t xml:space="preserve"> restore reasonableness and certainty, while</w:t>
      </w:r>
      <w:r>
        <w:t xml:space="preserve"> focus</w:t>
      </w:r>
      <w:r w:rsidR="00987A9B">
        <w:t xml:space="preserve">ing </w:t>
      </w:r>
      <w:r>
        <w:t xml:space="preserve">squarely on the criminals and scam artists </w:t>
      </w:r>
      <w:r w:rsidR="00E679B5">
        <w:t xml:space="preserve">plaguing our nation’s communications systems.  </w:t>
      </w:r>
      <w:r w:rsidR="0080653B">
        <w:t>M</w:t>
      </w:r>
      <w:r w:rsidR="00E679B5">
        <w:t xml:space="preserve">ake no mistake: </w:t>
      </w:r>
      <w:r w:rsidR="00325D37">
        <w:t xml:space="preserve"> </w:t>
      </w:r>
      <w:r w:rsidR="00E679B5">
        <w:t xml:space="preserve">some of these illegal actors are extremely sophisticated, and </w:t>
      </w:r>
      <w:r w:rsidR="00932C30">
        <w:t>prescriptive rules</w:t>
      </w:r>
      <w:r w:rsidR="00E679B5">
        <w:t xml:space="preserve"> won’t </w:t>
      </w:r>
      <w:r w:rsidR="003D2C16">
        <w:t>suffice</w:t>
      </w:r>
      <w:r w:rsidR="00E679B5">
        <w:t xml:space="preserve"> on their own.  </w:t>
      </w:r>
      <w:r w:rsidR="002669FB">
        <w:t xml:space="preserve">We need to be one step ahead of scammers themselves, and that </w:t>
      </w:r>
      <w:r w:rsidR="00C14491">
        <w:t xml:space="preserve">generally </w:t>
      </w:r>
      <w:r w:rsidR="002669FB">
        <w:t xml:space="preserve">requires very innovative technology.  </w:t>
      </w:r>
      <w:r w:rsidR="00C46556">
        <w:t xml:space="preserve">Thanks to market forces, </w:t>
      </w:r>
      <w:r w:rsidR="002669FB">
        <w:t xml:space="preserve">cutting-edge </w:t>
      </w:r>
      <w:r w:rsidR="00C46556">
        <w:t xml:space="preserve">companies have developed their own software-based solutions, involving advanced algorithms, machine learning, artificial intelligence, and consumer feedback. </w:t>
      </w:r>
      <w:r w:rsidR="002669FB">
        <w:t xml:space="preserve"> </w:t>
      </w:r>
      <w:r w:rsidR="00F91716">
        <w:t xml:space="preserve">We should applaud these efforts, as well as </w:t>
      </w:r>
      <w:r w:rsidR="002669FB">
        <w:t>initiatives</w:t>
      </w:r>
      <w:r w:rsidR="00F91716">
        <w:t xml:space="preserve"> by carriers to implement call authentication and verification</w:t>
      </w:r>
      <w:r w:rsidR="0080653B">
        <w:t>, along with</w:t>
      </w:r>
      <w:r w:rsidR="00F91716">
        <w:t xml:space="preserve"> call blocking and filtering services, </w:t>
      </w:r>
      <w:r w:rsidR="00741B7B">
        <w:t>usually</w:t>
      </w:r>
      <w:r w:rsidR="00F91716">
        <w:t xml:space="preserve"> free of charge, to their customers</w:t>
      </w:r>
      <w:r w:rsidRPr="002F08D1" w:rsidR="00F91716">
        <w:t xml:space="preserve">.  </w:t>
      </w:r>
      <w:r w:rsidRPr="002F08D1" w:rsidR="001C0B53">
        <w:t xml:space="preserve">Incidentally, </w:t>
      </w:r>
      <w:r w:rsidRPr="002F08D1" w:rsidR="002C199F">
        <w:t>Chairman</w:t>
      </w:r>
      <w:r w:rsidR="008309FE">
        <w:t xml:space="preserve"> Pai</w:t>
      </w:r>
      <w:r w:rsidRPr="002F08D1" w:rsidR="002C199F">
        <w:t xml:space="preserve"> circulated a</w:t>
      </w:r>
      <w:r w:rsidRPr="002F08D1" w:rsidR="000452E7">
        <w:t>n</w:t>
      </w:r>
      <w:r w:rsidRPr="002F08D1" w:rsidR="001C0B53">
        <w:t xml:space="preserve"> item yesterday</w:t>
      </w:r>
      <w:r w:rsidRPr="002F08D1" w:rsidR="000452E7">
        <w:t xml:space="preserve"> item to give carriers more flexibility and liability protection in </w:t>
      </w:r>
      <w:r w:rsidRPr="002F08D1" w:rsidR="00430A84">
        <w:t>blocking unlawful calls</w:t>
      </w:r>
      <w:r w:rsidRPr="002F08D1" w:rsidR="00264262">
        <w:t xml:space="preserve">.  While I have not yet had a chance to read the draft in depth, supporting </w:t>
      </w:r>
      <w:r w:rsidRPr="002F08D1" w:rsidR="00430A84">
        <w:t>carriers in their</w:t>
      </w:r>
      <w:r w:rsidRPr="002F08D1" w:rsidR="00264262">
        <w:t xml:space="preserve"> efforts is certainly a good start</w:t>
      </w:r>
      <w:r w:rsidRPr="002F08D1" w:rsidR="002C199F">
        <w:t>.</w:t>
      </w:r>
      <w:r w:rsidRPr="002F08D1" w:rsidR="006877D6">
        <w:t xml:space="preserve">  </w:t>
      </w:r>
    </w:p>
    <w:p w:rsidR="00D04098" w:rsidRPr="002F08D1" w:rsidP="00B43286" w14:paraId="061153C0" w14:textId="77777777">
      <w:pPr>
        <w:spacing w:after="0" w:line="240" w:lineRule="auto"/>
      </w:pPr>
    </w:p>
    <w:p w:rsidR="001C12D5" w:rsidP="00B43286" w14:paraId="6B428DBF" w14:textId="29B5B352">
      <w:pPr>
        <w:spacing w:after="0" w:line="240" w:lineRule="auto"/>
      </w:pPr>
      <w:r w:rsidRPr="002F08D1">
        <w:t>At the same time, we need to be vigilant and realistic</w:t>
      </w:r>
      <w:r w:rsidRPr="002F08D1" w:rsidR="0080653B">
        <w:t>,</w:t>
      </w:r>
      <w:r w:rsidRPr="002F08D1">
        <w:t xml:space="preserve"> because scammers will </w:t>
      </w:r>
      <w:r w:rsidRPr="002F08D1" w:rsidR="002A6B10">
        <w:t xml:space="preserve">continually </w:t>
      </w:r>
      <w:r w:rsidRPr="002F08D1" w:rsidR="002669FB">
        <w:t>find</w:t>
      </w:r>
      <w:r w:rsidRPr="002F08D1">
        <w:t xml:space="preserve"> ways to circumvent these </w:t>
      </w:r>
      <w:r w:rsidRPr="002F08D1" w:rsidR="00430A84">
        <w:t xml:space="preserve">technology-driven </w:t>
      </w:r>
      <w:r>
        <w:t>protections.  Further, it is crucial that we achieve accuracy and prevent false positives:</w:t>
      </w:r>
      <w:r w:rsidR="002669FB">
        <w:t xml:space="preserve"> there must be mechanisms to swiftly correct errors and prevent the mis-labelling and blocking of legitimate</w:t>
      </w:r>
      <w:r w:rsidR="003D2C16">
        <w:t>, legal robo</w:t>
      </w:r>
      <w:r w:rsidR="002669FB">
        <w:t>calls.</w:t>
      </w:r>
    </w:p>
    <w:p w:rsidR="00E43DD2" w:rsidP="00B43286" w14:paraId="7E93999A" w14:textId="77777777">
      <w:pPr>
        <w:spacing w:after="0" w:line="240" w:lineRule="auto"/>
      </w:pPr>
    </w:p>
    <w:p w:rsidR="00741B7B" w:rsidP="00B43286" w14:paraId="7344CF98" w14:textId="2F09FBFF">
      <w:pPr>
        <w:spacing w:after="0" w:line="240" w:lineRule="auto"/>
        <w:rPr>
          <w:i/>
        </w:rPr>
      </w:pPr>
      <w:r>
        <w:rPr>
          <w:i/>
        </w:rPr>
        <w:t>Resolv</w:t>
      </w:r>
      <w:r w:rsidR="00816B84">
        <w:rPr>
          <w:i/>
        </w:rPr>
        <w:t>ing</w:t>
      </w:r>
      <w:r>
        <w:rPr>
          <w:i/>
        </w:rPr>
        <w:t xml:space="preserve"> the Many Pending TCPA Petitions</w:t>
      </w:r>
    </w:p>
    <w:p w:rsidR="00E43DD2" w:rsidRPr="00741B7B" w:rsidP="00E43DD2" w14:paraId="1E315ED9" w14:textId="77777777">
      <w:pPr>
        <w:spacing w:after="0" w:line="240" w:lineRule="auto"/>
        <w:rPr>
          <w:i/>
        </w:rPr>
      </w:pPr>
    </w:p>
    <w:p w:rsidR="007E69A6" w:rsidP="00E43DD2" w14:paraId="31DCFA1F" w14:textId="43CFB886">
      <w:pPr>
        <w:spacing w:after="0" w:line="240" w:lineRule="auto"/>
      </w:pPr>
      <w:r>
        <w:t xml:space="preserve">We </w:t>
      </w:r>
      <w:r w:rsidR="003E75A5">
        <w:t>must</w:t>
      </w:r>
      <w:r>
        <w:t xml:space="preserve"> focus on </w:t>
      </w:r>
      <w:r w:rsidR="007800C7">
        <w:t>real solutions, not maintaining overbroad regulations</w:t>
      </w:r>
      <w:r w:rsidR="002A6B10">
        <w:t xml:space="preserve"> for political expediency</w:t>
      </w:r>
      <w:r w:rsidR="007800C7">
        <w:t xml:space="preserve">.  Moreover, </w:t>
      </w:r>
      <w:r w:rsidR="003D2C16">
        <w:t>we have an obligation to</w:t>
      </w:r>
      <w:r w:rsidR="007800C7">
        <w:t xml:space="preserve"> resolv</w:t>
      </w:r>
      <w:r w:rsidR="003D2C16">
        <w:t>e</w:t>
      </w:r>
      <w:r w:rsidR="007800C7">
        <w:t xml:space="preserve"> many </w:t>
      </w:r>
      <w:r w:rsidR="003D2C16">
        <w:t xml:space="preserve">of the </w:t>
      </w:r>
      <w:r w:rsidR="007800C7">
        <w:t>worthy TCPA petitions that are currently pending</w:t>
      </w:r>
      <w:r w:rsidR="002A6B10">
        <w:t>,</w:t>
      </w:r>
      <w:r w:rsidR="007800C7">
        <w:t xml:space="preserve"> stuck in </w:t>
      </w:r>
      <w:r w:rsidR="00BB6B41">
        <w:t xml:space="preserve">what seems like perpetual </w:t>
      </w:r>
      <w:r w:rsidR="004E772A">
        <w:t xml:space="preserve">legal </w:t>
      </w:r>
      <w:r w:rsidR="007800C7">
        <w:t>limbo.</w:t>
      </w:r>
      <w:r w:rsidR="003D2C16">
        <w:t xml:space="preserve">  If implementing the DC Circuit’s directives in </w:t>
      </w:r>
      <w:r w:rsidRPr="009907D6" w:rsidR="003D2C16">
        <w:rPr>
          <w:i/>
        </w:rPr>
        <w:t>ACA International</w:t>
      </w:r>
      <w:r w:rsidR="003D2C16">
        <w:t xml:space="preserve"> takes much longer, the Commission should </w:t>
      </w:r>
      <w:r w:rsidR="00CA0E7F">
        <w:t xml:space="preserve">at least </w:t>
      </w:r>
      <w:r w:rsidR="008F7078">
        <w:t>act swiftly to</w:t>
      </w:r>
      <w:r w:rsidR="003E75A5">
        <w:t xml:space="preserve"> </w:t>
      </w:r>
      <w:r w:rsidR="003D2C16">
        <w:t>provide some relief</w:t>
      </w:r>
      <w:r w:rsidR="003E75A5">
        <w:t xml:space="preserve"> </w:t>
      </w:r>
      <w:r w:rsidR="003D2C16">
        <w:t xml:space="preserve">in </w:t>
      </w:r>
      <w:r w:rsidR="003E75A5">
        <w:t xml:space="preserve">these </w:t>
      </w:r>
      <w:r w:rsidR="003D2C16">
        <w:t xml:space="preserve">discrete </w:t>
      </w:r>
      <w:r w:rsidR="003E75A5">
        <w:t xml:space="preserve">instances.  </w:t>
      </w:r>
      <w:r w:rsidR="003D2C16">
        <w:t xml:space="preserve"> </w:t>
      </w:r>
    </w:p>
    <w:p w:rsidR="00E43DD2" w:rsidP="00E43DD2" w14:paraId="3F6E3FBD" w14:textId="77777777">
      <w:pPr>
        <w:spacing w:after="0" w:line="240" w:lineRule="auto"/>
      </w:pPr>
    </w:p>
    <w:p w:rsidR="00173118" w:rsidP="00E43DD2" w14:paraId="05745381" w14:textId="53570801">
      <w:pPr>
        <w:spacing w:after="0" w:line="240" w:lineRule="auto"/>
      </w:pPr>
      <w:r>
        <w:t>Several</w:t>
      </w:r>
      <w:r w:rsidR="00BB6B41">
        <w:t xml:space="preserve"> </w:t>
      </w:r>
      <w:r w:rsidR="00987A9B">
        <w:t xml:space="preserve">of these common-sense requests </w:t>
      </w:r>
      <w:r w:rsidR="00BB6B41">
        <w:t xml:space="preserve">relate to the issue of prior express consent. </w:t>
      </w:r>
      <w:r w:rsidR="003D2C16">
        <w:t xml:space="preserve"> </w:t>
      </w:r>
      <w:r w:rsidR="007800C7">
        <w:t xml:space="preserve">For example, </w:t>
      </w:r>
      <w:r w:rsidR="00AC01A6">
        <w:t xml:space="preserve">one </w:t>
      </w:r>
      <w:r w:rsidR="007E69A6">
        <w:t>petitioner</w:t>
      </w:r>
      <w:r w:rsidR="00AF5521">
        <w:t xml:space="preserve"> seeks a declaratory ruling to exempt from TCPA liability purely informational</w:t>
      </w:r>
      <w:r w:rsidR="00FB6F53">
        <w:t xml:space="preserve"> and governance-related</w:t>
      </w:r>
      <w:r w:rsidR="00AF5521">
        <w:t xml:space="preserve"> calls by credit union</w:t>
      </w:r>
      <w:r>
        <w:t xml:space="preserve"> co-ops</w:t>
      </w:r>
      <w:r w:rsidR="00AF5521">
        <w:t xml:space="preserve"> to t</w:t>
      </w:r>
      <w:r w:rsidR="00FB6F53">
        <w:t xml:space="preserve">heir own members’ </w:t>
      </w:r>
      <w:r w:rsidR="00AF5521">
        <w:t xml:space="preserve">wireless phones. </w:t>
      </w:r>
      <w:r w:rsidR="007E69A6">
        <w:t xml:space="preserve"> </w:t>
      </w:r>
      <w:r w:rsidR="00AF5521">
        <w:t xml:space="preserve">Another </w:t>
      </w:r>
      <w:r w:rsidR="007E69A6">
        <w:t xml:space="preserve">seeks a declaration that motor vehicle safety-related recall notices fall under the TCPA’s emergency exception and are thus </w:t>
      </w:r>
      <w:r w:rsidR="007E69A6">
        <w:t>exempt from the prior express consent requirement.  Given the importance of such notices for health and safety purposes, i</w:t>
      </w:r>
      <w:r>
        <w:t>nterpreting the TCPA to deter such calls would seem very foolish indeed</w:t>
      </w:r>
      <w:r w:rsidR="007E69A6">
        <w:t xml:space="preserve">. </w:t>
      </w:r>
      <w:r w:rsidR="00FB6F53">
        <w:t xml:space="preserve"> </w:t>
      </w:r>
    </w:p>
    <w:p w:rsidR="00E43DD2" w:rsidP="00E43DD2" w14:paraId="6AF6A238" w14:textId="77777777">
      <w:pPr>
        <w:spacing w:after="0" w:line="240" w:lineRule="auto"/>
      </w:pPr>
    </w:p>
    <w:p w:rsidR="00FB6F53" w:rsidP="00E43DD2" w14:paraId="5AB41FFA" w14:textId="275E6287">
      <w:pPr>
        <w:spacing w:after="0" w:line="240" w:lineRule="auto"/>
      </w:pPr>
      <w:r>
        <w:t xml:space="preserve">On the telemarketing front, </w:t>
      </w:r>
      <w:r w:rsidR="00FC7CEA">
        <w:t>multiple</w:t>
      </w:r>
      <w:r>
        <w:t xml:space="preserve"> petition</w:t>
      </w:r>
      <w:r w:rsidR="00FC7CEA">
        <w:t>s</w:t>
      </w:r>
      <w:r>
        <w:t xml:space="preserve"> seek clarification on </w:t>
      </w:r>
      <w:r>
        <w:t xml:space="preserve">what constitutes an advertisement under the TCPA.  The Commission’s vague purpose-based standard has led to certain courts finding that any profit motive whatsoever, no matter how attenuated to the actual content of a communication, constitutes telemarketing, and thus requires a higher threshold of consent.  Given the hodgepodge of judicial opinions on this issue, it’s obvious that courts need more guidance. </w:t>
      </w:r>
    </w:p>
    <w:p w:rsidR="00B65924" w:rsidP="00B65924" w14:paraId="441765A5" w14:textId="77777777">
      <w:pPr>
        <w:spacing w:after="0" w:line="240" w:lineRule="auto"/>
      </w:pPr>
    </w:p>
    <w:p w:rsidR="00FB6F53" w:rsidP="00B65924" w14:paraId="4B3BA8CA" w14:textId="53941EBC">
      <w:pPr>
        <w:spacing w:after="0" w:line="240" w:lineRule="auto"/>
      </w:pPr>
      <w:r>
        <w:t xml:space="preserve">There are also several pending petitions relating to the Commission’s junk fax rules.  </w:t>
      </w:r>
      <w:r w:rsidR="00987A9B">
        <w:t>For example, one petitioner</w:t>
      </w:r>
      <w:r w:rsidR="000433BF">
        <w:t xml:space="preserve"> seeks </w:t>
      </w:r>
      <w:r w:rsidR="00E56621">
        <w:t xml:space="preserve">a declaratory ruling that faxes sent as email over the Internet do not constitute faxes received on a “telephone facsimile machine,” based on the plain meaning of the TCPA’s statutory language. </w:t>
      </w:r>
      <w:r w:rsidR="00711E55">
        <w:t xml:space="preserve"> </w:t>
      </w:r>
      <w:r w:rsidR="000A439A">
        <w:t xml:space="preserve">Blurring the distinction between fax and email to </w:t>
      </w:r>
      <w:r w:rsidR="003D2C16">
        <w:t xml:space="preserve">capture </w:t>
      </w:r>
      <w:r w:rsidR="006E2738">
        <w:t>what is effectively the latter</w:t>
      </w:r>
      <w:r w:rsidR="003D2C16">
        <w:t xml:space="preserve"> within TCPA </w:t>
      </w:r>
      <w:r w:rsidR="000A439A">
        <w:t>would seem to have very far-reaching consequences, contrary to the original drafters’ intent.</w:t>
      </w:r>
    </w:p>
    <w:p w:rsidR="00B65924" w:rsidP="00B65924" w14:paraId="0558CDA6" w14:textId="77777777">
      <w:pPr>
        <w:spacing w:after="0" w:line="240" w:lineRule="auto"/>
      </w:pPr>
    </w:p>
    <w:p w:rsidR="00356692" w:rsidP="00B65924" w14:paraId="4AC72799" w14:textId="4C48C669">
      <w:pPr>
        <w:spacing w:after="0" w:line="240" w:lineRule="auto"/>
      </w:pPr>
      <w:r>
        <w:t>Other</w:t>
      </w:r>
      <w:r w:rsidR="00FB6F53">
        <w:t xml:space="preserve"> petitions</w:t>
      </w:r>
      <w:r>
        <w:t xml:space="preserve"> deal with the definition of ATDS.  For example, one</w:t>
      </w:r>
      <w:r>
        <w:t xml:space="preserve"> asks for clarification on the status of “peer-to-peer” messaging under the TCPA, even though that platform involves individual</w:t>
      </w:r>
      <w:r w:rsidR="00DD1DAF">
        <w:t>ized</w:t>
      </w:r>
      <w:r>
        <w:t xml:space="preserve"> </w:t>
      </w:r>
      <w:r w:rsidR="00384525">
        <w:t>text messages</w:t>
      </w:r>
      <w:r>
        <w:t>.  It’s a sad truth that case law has interpreted ATDS so broadly and unpredictably that practically all modern dialing and texting technologies face the threat of legal sanction, even those that take absolutely no part in random or sequential number generation.</w:t>
      </w:r>
    </w:p>
    <w:p w:rsidR="003D2C16" w:rsidP="00B65924" w14:paraId="05D41B83" w14:textId="77777777">
      <w:pPr>
        <w:spacing w:after="0" w:line="240" w:lineRule="auto"/>
      </w:pPr>
    </w:p>
    <w:p w:rsidR="007E69A6" w:rsidP="00B65924" w14:paraId="5546E6BB" w14:textId="5E6D3E0E">
      <w:pPr>
        <w:spacing w:after="0" w:line="240" w:lineRule="auto"/>
      </w:pPr>
      <w:r>
        <w:t>It’s a similar story with respect to courts’ reading of the phrase, “artificial or prerecorded voice to deliver a message.”  One class action lawsuit currently threatening to drive one home security company out of business involves the question of whether soundboard technology, which involves live operators sending individualized messages on a one-to-one basis</w:t>
      </w:r>
      <w:r w:rsidR="003E268D">
        <w:t>, constitutes the use of an artificial or prerecorded voice message.  How the district court interprets that statutory phrase, and the pace at which we act on the relevant petition, will literally determine whether that company survives or goes out of business.</w:t>
      </w:r>
      <w:r>
        <w:t xml:space="preserve"> </w:t>
      </w:r>
    </w:p>
    <w:p w:rsidR="00B65924" w:rsidP="00B65924" w14:paraId="5949D2D3" w14:textId="77777777">
      <w:pPr>
        <w:spacing w:after="0" w:line="240" w:lineRule="auto"/>
      </w:pPr>
    </w:p>
    <w:p w:rsidR="00E43DD2" w:rsidP="00E43DD2" w14:paraId="2F5563DB" w14:textId="7A3A9F18">
      <w:pPr>
        <w:spacing w:after="0" w:line="240" w:lineRule="auto"/>
      </w:pPr>
      <w:r>
        <w:t xml:space="preserve">That’s not to say all the TCPA petitions pending are worthy of our approval.  For example, two petitions for reconsideration urge the Commission to reverse its </w:t>
      </w:r>
      <w:r w:rsidRPr="009907D6">
        <w:rPr>
          <w:i/>
        </w:rPr>
        <w:t>Broadnet Declaratory Ruling</w:t>
      </w:r>
      <w:r>
        <w:t xml:space="preserve">, which held that federal agencies and contractors acting on their behalf </w:t>
      </w:r>
      <w:r w:rsidR="00AD2852">
        <w:t>are not persons subject to the TCPA.  According to the Commerce Secretary’s recent letter to the Commission on this issue, granting a reversal would create massive burdens for federal agencies and taxpayers</w:t>
      </w:r>
      <w:r w:rsidR="004E772A">
        <w:t xml:space="preserve"> and would not be justified.</w:t>
      </w:r>
      <w:r w:rsidR="000869D6">
        <w:t xml:space="preserve">  I certainly agree, and if it were up to me, I would extend the Broadnet ruling to apply to state and local governments as well.</w:t>
      </w:r>
    </w:p>
    <w:p w:rsidR="001624B6" w:rsidP="00E43DD2" w14:paraId="35F64884" w14:textId="4448BFE7">
      <w:pPr>
        <w:spacing w:after="0" w:line="240" w:lineRule="auto"/>
      </w:pPr>
    </w:p>
    <w:p w:rsidR="001624B6" w:rsidP="0054201F" w14:paraId="09E6D2A2" w14:textId="51F27AF9">
      <w:pPr>
        <w:spacing w:after="0" w:line="240" w:lineRule="auto"/>
        <w:jc w:val="center"/>
      </w:pPr>
      <w:r>
        <w:t>*</w:t>
      </w:r>
      <w:r>
        <w:tab/>
        <w:t>*</w:t>
      </w:r>
      <w:r>
        <w:tab/>
        <w:t>*</w:t>
      </w:r>
    </w:p>
    <w:p w:rsidR="0054201F" w:rsidP="0054201F" w14:paraId="5E648A02" w14:textId="77777777">
      <w:pPr>
        <w:spacing w:after="0" w:line="240" w:lineRule="auto"/>
        <w:jc w:val="center"/>
      </w:pPr>
    </w:p>
    <w:p w:rsidR="000869D6" w:rsidP="00E43DD2" w14:paraId="4A777814" w14:textId="12E6B97C">
      <w:pPr>
        <w:spacing w:after="0" w:line="240" w:lineRule="auto"/>
      </w:pPr>
      <w:r>
        <w:t xml:space="preserve">You get the point.  I </w:t>
      </w:r>
      <w:r w:rsidR="002A6B10">
        <w:t>won’t keep</w:t>
      </w:r>
      <w:r>
        <w:t xml:space="preserve"> droning on at length, but this is an issue I care deeply about and want to see fixed.  While eliminating </w:t>
      </w:r>
      <w:r w:rsidRPr="003D2C16">
        <w:rPr>
          <w:i/>
        </w:rPr>
        <w:t>illegal</w:t>
      </w:r>
      <w:r>
        <w:t xml:space="preserve"> robocalls is a critical priority, we must remain mindful not to catch legitimate organizations</w:t>
      </w:r>
      <w:r w:rsidR="00BA5A94">
        <w:t>,</w:t>
      </w:r>
      <w:r>
        <w:t xml:space="preserve"> like yours</w:t>
      </w:r>
      <w:r w:rsidR="00BA5A94">
        <w:t>,</w:t>
      </w:r>
      <w:r>
        <w:t xml:space="preserve"> in the crosshairs.  The stakes are too great for businesses, consumers, and the rule of law.  I urge you to continue to speak out on this important issue</w:t>
      </w:r>
      <w:r w:rsidR="002A6B10">
        <w:t>,</w:t>
      </w:r>
      <w:r>
        <w:t xml:space="preserve"> and I’ll continue to do my part in restoring certainty and integrity to our TCPA rules.  Thank you for listening and I welcome your questions.</w:t>
      </w:r>
    </w:p>
    <w:sectPr w:rsidSect="00881E62">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1E62" w14:paraId="171C50E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B3F3C" w:rsidP="00464EFF" w14:paraId="32464DC8" w14:textId="77777777">
      <w:pPr>
        <w:spacing w:after="0" w:line="240" w:lineRule="auto"/>
      </w:pPr>
      <w:r>
        <w:separator/>
      </w:r>
    </w:p>
  </w:footnote>
  <w:footnote w:type="continuationSeparator" w:id="1">
    <w:p w:rsidR="009B3F3C" w:rsidP="00464EFF" w14:paraId="27EE386C" w14:textId="77777777">
      <w:pPr>
        <w:spacing w:after="0" w:line="240" w:lineRule="auto"/>
      </w:pPr>
      <w:r>
        <w:continuationSeparator/>
      </w:r>
    </w:p>
  </w:footnote>
  <w:footnote w:id="2">
    <w:p w:rsidR="00961420" w:rsidRPr="00961420" w14:paraId="3EC553AA" w14:textId="5E238E9C">
      <w:pPr>
        <w:pStyle w:val="FootnoteText"/>
      </w:pPr>
      <w:r>
        <w:rPr>
          <w:rStyle w:val="FootnoteReference"/>
        </w:rPr>
        <w:footnoteRef/>
      </w:r>
      <w:r>
        <w:t xml:space="preserve"> </w:t>
      </w:r>
      <w:r>
        <w:rPr>
          <w:i/>
        </w:rPr>
        <w:t>TCPA Litigation Sprawl</w:t>
      </w:r>
      <w:r w:rsidR="00D555EB">
        <w:t>, U.S. Chamber Institute for Legal Reform</w:t>
      </w:r>
      <w:r>
        <w:t xml:space="preserve"> (August 2017),</w:t>
      </w:r>
      <w:r w:rsidR="00611D52">
        <w:t xml:space="preserve"> </w:t>
      </w:r>
      <w:r w:rsidRPr="00A60996" w:rsidR="00611D52">
        <w:rPr>
          <w:rStyle w:val="Hyperlink"/>
        </w:rPr>
        <w:t>https://www.instituteforlegalreform.com/uploads/sites/1/TCPA_Paper_Final.pdf</w:t>
      </w:r>
      <w:r w:rsidR="00CA324E">
        <w:t>.</w:t>
      </w:r>
    </w:p>
  </w:footnote>
  <w:footnote w:id="3">
    <w:p w:rsidR="00BB74FF" w:rsidRPr="00BB74FF" w14:paraId="707E2ED9" w14:textId="7463BAB9">
      <w:pPr>
        <w:pStyle w:val="FootnoteText"/>
      </w:pPr>
      <w:r>
        <w:rPr>
          <w:rStyle w:val="FootnoteReference"/>
        </w:rPr>
        <w:footnoteRef/>
      </w:r>
      <w:r>
        <w:t xml:space="preserve"> Adonis Hoffman, </w:t>
      </w:r>
      <w:r>
        <w:rPr>
          <w:i/>
        </w:rPr>
        <w:t>Sorry, Wrong Number, Now Pay Up</w:t>
      </w:r>
      <w:r>
        <w:t xml:space="preserve">, Wall Street Journal (June 15, 2015), </w:t>
      </w:r>
      <w:r w:rsidRPr="00A60996">
        <w:rPr>
          <w:rStyle w:val="Hyperlink"/>
        </w:rPr>
        <w:t>https://www.wsj.com/articles/sorry-wrong-numbe</w:t>
      </w:r>
      <w:bookmarkStart w:id="0" w:name="_GoBack"/>
      <w:bookmarkEnd w:id="0"/>
      <w:r w:rsidRPr="00A60996">
        <w:rPr>
          <w:rStyle w:val="Hyperlink"/>
        </w:rPr>
        <w:t>r-now-pay-up-1434409610</w:t>
      </w:r>
      <w:r w:rsidR="00CA324E">
        <w:t>.</w:t>
      </w:r>
    </w:p>
  </w:footnote>
  <w:footnote w:id="4">
    <w:p w:rsidR="00A36AC7" w:rsidRPr="00A36AC7" w14:paraId="7729BE4A" w14:textId="400A4E1A">
      <w:pPr>
        <w:pStyle w:val="FootnoteText"/>
        <w:rPr>
          <w:i/>
        </w:rPr>
      </w:pPr>
      <w:r>
        <w:rPr>
          <w:rStyle w:val="FootnoteReference"/>
        </w:rPr>
        <w:footnoteRef/>
      </w:r>
      <w:r>
        <w:t xml:space="preserve"> Eric Troutman, </w:t>
      </w:r>
      <w:r>
        <w:rPr>
          <w:i/>
        </w:rPr>
        <w:t xml:space="preserve">Fact Checking John Oliver’s Robocall Bit: It Was Hilarious but Was It </w:t>
      </w:r>
      <w:r>
        <w:rPr>
          <w:i/>
        </w:rPr>
        <w:t>Accurate?</w:t>
      </w:r>
      <w:r>
        <w:t>,</w:t>
      </w:r>
      <w:r>
        <w:t xml:space="preserve"> National Law Review (March 13, 2019), </w:t>
      </w:r>
      <w:r w:rsidRPr="00A60996">
        <w:rPr>
          <w:rStyle w:val="Hyperlink"/>
        </w:rPr>
        <w:t>https://www.natlawreview.com/article/fact-checking-john-oliver-s-robocall-bit-it-was-hilarious-was-it-accurate</w:t>
      </w:r>
      <w:r w:rsidR="00CA324E">
        <w:t>.</w:t>
      </w:r>
    </w:p>
  </w:footnote>
  <w:footnote w:id="5">
    <w:p w:rsidR="00A36AC7" w14:paraId="66115CDC" w14:textId="62C4EDAD">
      <w:pPr>
        <w:pStyle w:val="FootnoteText"/>
      </w:pPr>
      <w:r>
        <w:rPr>
          <w:rStyle w:val="FootnoteReference"/>
        </w:rPr>
        <w:footnoteRef/>
      </w:r>
      <w:r>
        <w:t xml:space="preserve"> </w:t>
      </w:r>
      <w:r w:rsidRPr="009B5F33" w:rsidR="009B5F33">
        <w:rPr>
          <w:i/>
        </w:rPr>
        <w:t>Abusive Robocalls and How We Can Stop Them:</w:t>
      </w:r>
      <w:r w:rsidRPr="009B5F33" w:rsidR="004327E1">
        <w:rPr>
          <w:i/>
        </w:rPr>
        <w:t xml:space="preserve"> </w:t>
      </w:r>
      <w:r w:rsidRPr="009B5F33">
        <w:rPr>
          <w:i/>
        </w:rPr>
        <w:t xml:space="preserve"> </w:t>
      </w:r>
      <w:r w:rsidRPr="009B5F33" w:rsidR="009B5F33">
        <w:rPr>
          <w:i/>
        </w:rPr>
        <w:t xml:space="preserve">Hearing before the U.S. </w:t>
      </w:r>
      <w:r w:rsidRPr="009B5F33">
        <w:rPr>
          <w:i/>
        </w:rPr>
        <w:t>Senate Committee on Commerce, Science &amp; Transportation</w:t>
      </w:r>
      <w:r w:rsidR="009B5F33">
        <w:t>, 115</w:t>
      </w:r>
      <w:r w:rsidRPr="009B5F33" w:rsidR="009B5F33">
        <w:rPr>
          <w:vertAlign w:val="superscript"/>
        </w:rPr>
        <w:t>th</w:t>
      </w:r>
      <w:r w:rsidR="009B5F33">
        <w:t xml:space="preserve"> Cong</w:t>
      </w:r>
      <w:r w:rsidR="009C5A3E">
        <w:t>.</w:t>
      </w:r>
      <w:r w:rsidR="00D05A9A">
        <w:t xml:space="preserve"> 4</w:t>
      </w:r>
      <w:r w:rsidR="009C5A3E">
        <w:t xml:space="preserve"> </w:t>
      </w:r>
      <w:r>
        <w:t>(2018)</w:t>
      </w:r>
      <w:r w:rsidR="009C5A3E">
        <w:t xml:space="preserve"> (written testimony of Margot Saunders, </w:t>
      </w:r>
      <w:r w:rsidR="004D097C">
        <w:t>Senior Counsel, National Consumer Law Center)</w:t>
      </w:r>
      <w:r w:rsidR="00915C31">
        <w:t>.</w:t>
      </w:r>
    </w:p>
  </w:footnote>
  <w:footnote w:id="6">
    <w:p w:rsidR="00A36AC7" w:rsidRPr="00A36AC7" w14:paraId="650C8F50" w14:textId="01AA6967">
      <w:pPr>
        <w:pStyle w:val="FootnoteText"/>
      </w:pPr>
      <w:r>
        <w:rPr>
          <w:rStyle w:val="FootnoteReference"/>
        </w:rPr>
        <w:footnoteRef/>
      </w:r>
      <w:r>
        <w:t xml:space="preserve"> </w:t>
      </w:r>
      <w:r w:rsidR="00D555EB">
        <w:rPr>
          <w:i/>
        </w:rPr>
        <w:t xml:space="preserve">Robocall Radar Spam Trends: 2018 Report, </w:t>
      </w:r>
      <w:r>
        <w:t xml:space="preserve">Hiya, </w:t>
      </w:r>
      <w:r w:rsidRPr="00A60996">
        <w:rPr>
          <w:rStyle w:val="Hyperlink"/>
        </w:rPr>
        <w:t>https://hiya.com/robocall-radar</w:t>
      </w:r>
      <w:r w:rsidR="00CA324E">
        <w:t xml:space="preserve"> (last visited May 6,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566"/>
    <w:rsid w:val="00013F6F"/>
    <w:rsid w:val="00022759"/>
    <w:rsid w:val="00030BF5"/>
    <w:rsid w:val="000433BF"/>
    <w:rsid w:val="000452E7"/>
    <w:rsid w:val="00062F60"/>
    <w:rsid w:val="0007471F"/>
    <w:rsid w:val="00082DA1"/>
    <w:rsid w:val="000869D6"/>
    <w:rsid w:val="00097764"/>
    <w:rsid w:val="000A439A"/>
    <w:rsid w:val="000A6E3A"/>
    <w:rsid w:val="000B187C"/>
    <w:rsid w:val="000B2E1B"/>
    <w:rsid w:val="000B411E"/>
    <w:rsid w:val="000B4140"/>
    <w:rsid w:val="000C71D3"/>
    <w:rsid w:val="000E3978"/>
    <w:rsid w:val="00114722"/>
    <w:rsid w:val="00117E12"/>
    <w:rsid w:val="0012288D"/>
    <w:rsid w:val="001237E8"/>
    <w:rsid w:val="00127A22"/>
    <w:rsid w:val="00150753"/>
    <w:rsid w:val="001624B6"/>
    <w:rsid w:val="00173118"/>
    <w:rsid w:val="0017330F"/>
    <w:rsid w:val="0018658D"/>
    <w:rsid w:val="0019257D"/>
    <w:rsid w:val="001A7E98"/>
    <w:rsid w:val="001B11AF"/>
    <w:rsid w:val="001C0B53"/>
    <w:rsid w:val="001C12D5"/>
    <w:rsid w:val="001D77A4"/>
    <w:rsid w:val="001F2A9E"/>
    <w:rsid w:val="002260B2"/>
    <w:rsid w:val="002476C5"/>
    <w:rsid w:val="00264262"/>
    <w:rsid w:val="002669FB"/>
    <w:rsid w:val="00273C1A"/>
    <w:rsid w:val="00274045"/>
    <w:rsid w:val="00274131"/>
    <w:rsid w:val="002A6B10"/>
    <w:rsid w:val="002B127F"/>
    <w:rsid w:val="002B5F64"/>
    <w:rsid w:val="002B6EF4"/>
    <w:rsid w:val="002C1438"/>
    <w:rsid w:val="002C199F"/>
    <w:rsid w:val="002D165F"/>
    <w:rsid w:val="002F08D1"/>
    <w:rsid w:val="002F4A46"/>
    <w:rsid w:val="003009B6"/>
    <w:rsid w:val="0030554A"/>
    <w:rsid w:val="00307E59"/>
    <w:rsid w:val="0031246E"/>
    <w:rsid w:val="00314B7E"/>
    <w:rsid w:val="00321953"/>
    <w:rsid w:val="00325D37"/>
    <w:rsid w:val="00356692"/>
    <w:rsid w:val="00357925"/>
    <w:rsid w:val="003733D3"/>
    <w:rsid w:val="00383DDF"/>
    <w:rsid w:val="00384525"/>
    <w:rsid w:val="00385B0C"/>
    <w:rsid w:val="00393A53"/>
    <w:rsid w:val="003A401A"/>
    <w:rsid w:val="003B66AF"/>
    <w:rsid w:val="003B6B01"/>
    <w:rsid w:val="003D2A68"/>
    <w:rsid w:val="003D2C16"/>
    <w:rsid w:val="003E1F77"/>
    <w:rsid w:val="003E268D"/>
    <w:rsid w:val="003E75A5"/>
    <w:rsid w:val="00417A15"/>
    <w:rsid w:val="0042656F"/>
    <w:rsid w:val="00426C07"/>
    <w:rsid w:val="00430A84"/>
    <w:rsid w:val="004327E1"/>
    <w:rsid w:val="00445566"/>
    <w:rsid w:val="004503E2"/>
    <w:rsid w:val="004525FB"/>
    <w:rsid w:val="00464EFF"/>
    <w:rsid w:val="004664A9"/>
    <w:rsid w:val="004717A3"/>
    <w:rsid w:val="004728FB"/>
    <w:rsid w:val="004879A2"/>
    <w:rsid w:val="0049455F"/>
    <w:rsid w:val="00496785"/>
    <w:rsid w:val="004C1F40"/>
    <w:rsid w:val="004D097C"/>
    <w:rsid w:val="004D1A30"/>
    <w:rsid w:val="004D7B1F"/>
    <w:rsid w:val="004E772A"/>
    <w:rsid w:val="004F0D98"/>
    <w:rsid w:val="004F6346"/>
    <w:rsid w:val="00520E54"/>
    <w:rsid w:val="005322C3"/>
    <w:rsid w:val="0054201F"/>
    <w:rsid w:val="00564455"/>
    <w:rsid w:val="005718CA"/>
    <w:rsid w:val="005819BD"/>
    <w:rsid w:val="005856CF"/>
    <w:rsid w:val="005C0103"/>
    <w:rsid w:val="005D563E"/>
    <w:rsid w:val="005F07FA"/>
    <w:rsid w:val="00611D52"/>
    <w:rsid w:val="006159A5"/>
    <w:rsid w:val="0061742E"/>
    <w:rsid w:val="0063033D"/>
    <w:rsid w:val="006324E2"/>
    <w:rsid w:val="0067502A"/>
    <w:rsid w:val="00683DA6"/>
    <w:rsid w:val="006852D0"/>
    <w:rsid w:val="00687780"/>
    <w:rsid w:val="006877D6"/>
    <w:rsid w:val="00687BA9"/>
    <w:rsid w:val="006A5F6F"/>
    <w:rsid w:val="006B7680"/>
    <w:rsid w:val="006C1446"/>
    <w:rsid w:val="006C7DA9"/>
    <w:rsid w:val="006D7878"/>
    <w:rsid w:val="006E2738"/>
    <w:rsid w:val="006F5E34"/>
    <w:rsid w:val="00711E55"/>
    <w:rsid w:val="00735C32"/>
    <w:rsid w:val="00741B7B"/>
    <w:rsid w:val="00746783"/>
    <w:rsid w:val="00775CC8"/>
    <w:rsid w:val="007800C7"/>
    <w:rsid w:val="00786621"/>
    <w:rsid w:val="007E641F"/>
    <w:rsid w:val="007E69A6"/>
    <w:rsid w:val="007E7899"/>
    <w:rsid w:val="007F2615"/>
    <w:rsid w:val="008044DE"/>
    <w:rsid w:val="0080653B"/>
    <w:rsid w:val="008120C2"/>
    <w:rsid w:val="00814652"/>
    <w:rsid w:val="00816B84"/>
    <w:rsid w:val="00821DA4"/>
    <w:rsid w:val="008309FE"/>
    <w:rsid w:val="00852179"/>
    <w:rsid w:val="008527EC"/>
    <w:rsid w:val="00855DAA"/>
    <w:rsid w:val="00861F24"/>
    <w:rsid w:val="008658CD"/>
    <w:rsid w:val="0087314B"/>
    <w:rsid w:val="00881E62"/>
    <w:rsid w:val="008832F7"/>
    <w:rsid w:val="008B170C"/>
    <w:rsid w:val="008D27ED"/>
    <w:rsid w:val="008E709F"/>
    <w:rsid w:val="008F40DF"/>
    <w:rsid w:val="008F7078"/>
    <w:rsid w:val="009043D6"/>
    <w:rsid w:val="009129D1"/>
    <w:rsid w:val="00915253"/>
    <w:rsid w:val="00915C31"/>
    <w:rsid w:val="00920949"/>
    <w:rsid w:val="00932C30"/>
    <w:rsid w:val="00957A2F"/>
    <w:rsid w:val="00961420"/>
    <w:rsid w:val="009647CA"/>
    <w:rsid w:val="00974B37"/>
    <w:rsid w:val="00987A9B"/>
    <w:rsid w:val="009907D6"/>
    <w:rsid w:val="00994F02"/>
    <w:rsid w:val="009A32D4"/>
    <w:rsid w:val="009B0AE8"/>
    <w:rsid w:val="009B3F3C"/>
    <w:rsid w:val="009B47ED"/>
    <w:rsid w:val="009B5F33"/>
    <w:rsid w:val="009C5A3E"/>
    <w:rsid w:val="009F65CD"/>
    <w:rsid w:val="00A0660C"/>
    <w:rsid w:val="00A1519C"/>
    <w:rsid w:val="00A24E04"/>
    <w:rsid w:val="00A36AC7"/>
    <w:rsid w:val="00A4258F"/>
    <w:rsid w:val="00A60996"/>
    <w:rsid w:val="00A7108A"/>
    <w:rsid w:val="00A76104"/>
    <w:rsid w:val="00AB28A6"/>
    <w:rsid w:val="00AC01A6"/>
    <w:rsid w:val="00AC6464"/>
    <w:rsid w:val="00AC7FCF"/>
    <w:rsid w:val="00AD01F8"/>
    <w:rsid w:val="00AD0F05"/>
    <w:rsid w:val="00AD2852"/>
    <w:rsid w:val="00AF5521"/>
    <w:rsid w:val="00B07010"/>
    <w:rsid w:val="00B11E8E"/>
    <w:rsid w:val="00B211E5"/>
    <w:rsid w:val="00B26E39"/>
    <w:rsid w:val="00B34789"/>
    <w:rsid w:val="00B4208D"/>
    <w:rsid w:val="00B43286"/>
    <w:rsid w:val="00B54404"/>
    <w:rsid w:val="00B557D1"/>
    <w:rsid w:val="00B60FA0"/>
    <w:rsid w:val="00B65924"/>
    <w:rsid w:val="00B868F3"/>
    <w:rsid w:val="00BA5A94"/>
    <w:rsid w:val="00BB18C0"/>
    <w:rsid w:val="00BB6B41"/>
    <w:rsid w:val="00BB74FF"/>
    <w:rsid w:val="00BE471C"/>
    <w:rsid w:val="00C02F11"/>
    <w:rsid w:val="00C07B26"/>
    <w:rsid w:val="00C14491"/>
    <w:rsid w:val="00C14E8E"/>
    <w:rsid w:val="00C272B8"/>
    <w:rsid w:val="00C30303"/>
    <w:rsid w:val="00C46270"/>
    <w:rsid w:val="00C46556"/>
    <w:rsid w:val="00C46C08"/>
    <w:rsid w:val="00C57C7E"/>
    <w:rsid w:val="00C767D9"/>
    <w:rsid w:val="00C83F95"/>
    <w:rsid w:val="00C94F17"/>
    <w:rsid w:val="00C96824"/>
    <w:rsid w:val="00CA0E7F"/>
    <w:rsid w:val="00CA324E"/>
    <w:rsid w:val="00CB11E1"/>
    <w:rsid w:val="00CD1F90"/>
    <w:rsid w:val="00CD45B5"/>
    <w:rsid w:val="00CE4658"/>
    <w:rsid w:val="00CE7DAF"/>
    <w:rsid w:val="00D02747"/>
    <w:rsid w:val="00D04098"/>
    <w:rsid w:val="00D05A9A"/>
    <w:rsid w:val="00D05D28"/>
    <w:rsid w:val="00D30B15"/>
    <w:rsid w:val="00D465B2"/>
    <w:rsid w:val="00D47EF8"/>
    <w:rsid w:val="00D555EB"/>
    <w:rsid w:val="00D641D3"/>
    <w:rsid w:val="00D804E8"/>
    <w:rsid w:val="00D84ABE"/>
    <w:rsid w:val="00D864B9"/>
    <w:rsid w:val="00D91F3F"/>
    <w:rsid w:val="00DA17A5"/>
    <w:rsid w:val="00DD1DAF"/>
    <w:rsid w:val="00DD50BD"/>
    <w:rsid w:val="00E00835"/>
    <w:rsid w:val="00E300F9"/>
    <w:rsid w:val="00E43DD2"/>
    <w:rsid w:val="00E56621"/>
    <w:rsid w:val="00E679B5"/>
    <w:rsid w:val="00EA008C"/>
    <w:rsid w:val="00EA081D"/>
    <w:rsid w:val="00EA5935"/>
    <w:rsid w:val="00EA6DEC"/>
    <w:rsid w:val="00EB5B22"/>
    <w:rsid w:val="00EC5556"/>
    <w:rsid w:val="00F03FB3"/>
    <w:rsid w:val="00F26791"/>
    <w:rsid w:val="00F56CDD"/>
    <w:rsid w:val="00F77C94"/>
    <w:rsid w:val="00F8056C"/>
    <w:rsid w:val="00F91716"/>
    <w:rsid w:val="00FB6F53"/>
    <w:rsid w:val="00FC7C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F6434C7D-AA36-467D-B286-95534B6A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6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4EFF"/>
    <w:rPr>
      <w:sz w:val="20"/>
      <w:szCs w:val="20"/>
    </w:rPr>
  </w:style>
  <w:style w:type="character" w:styleId="FootnoteReference">
    <w:name w:val="footnote reference"/>
    <w:basedOn w:val="DefaultParagraphFont"/>
    <w:uiPriority w:val="99"/>
    <w:semiHidden/>
    <w:unhideWhenUsed/>
    <w:rsid w:val="00464EFF"/>
    <w:rPr>
      <w:vertAlign w:val="superscript"/>
    </w:rPr>
  </w:style>
  <w:style w:type="character" w:styleId="Hyperlink">
    <w:name w:val="Hyperlink"/>
    <w:basedOn w:val="DefaultParagraphFont"/>
    <w:uiPriority w:val="99"/>
    <w:unhideWhenUsed/>
    <w:rsid w:val="00687780"/>
    <w:rPr>
      <w:color w:val="0000FF"/>
      <w:u w:val="single"/>
    </w:rPr>
  </w:style>
  <w:style w:type="character" w:customStyle="1" w:styleId="UnresolvedMention">
    <w:name w:val="Unresolved Mention"/>
    <w:basedOn w:val="DefaultParagraphFont"/>
    <w:uiPriority w:val="99"/>
    <w:semiHidden/>
    <w:unhideWhenUsed/>
    <w:rsid w:val="00BB6B41"/>
    <w:rPr>
      <w:color w:val="605E5C"/>
      <w:shd w:val="clear" w:color="auto" w:fill="E1DFDD"/>
    </w:rPr>
  </w:style>
  <w:style w:type="paragraph" w:styleId="ListParagraph">
    <w:name w:val="List Paragraph"/>
    <w:basedOn w:val="Normal"/>
    <w:uiPriority w:val="34"/>
    <w:qFormat/>
    <w:rsid w:val="001624B6"/>
    <w:pPr>
      <w:ind w:left="720"/>
      <w:contextualSpacing/>
    </w:pPr>
  </w:style>
  <w:style w:type="paragraph" w:styleId="BalloonText">
    <w:name w:val="Balloon Text"/>
    <w:basedOn w:val="Normal"/>
    <w:link w:val="BalloonTextChar"/>
    <w:uiPriority w:val="99"/>
    <w:semiHidden/>
    <w:unhideWhenUsed/>
    <w:rsid w:val="00114722"/>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114722"/>
    <w:rPr>
      <w:rFonts w:ascii="Arial" w:hAnsi="Arial" w:cs="Arial"/>
      <w:sz w:val="18"/>
      <w:szCs w:val="18"/>
    </w:rPr>
  </w:style>
  <w:style w:type="paragraph" w:styleId="Header">
    <w:name w:val="header"/>
    <w:basedOn w:val="Normal"/>
    <w:link w:val="HeaderChar"/>
    <w:uiPriority w:val="99"/>
    <w:unhideWhenUsed/>
    <w:rsid w:val="00881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E62"/>
  </w:style>
  <w:style w:type="paragraph" w:styleId="Footer">
    <w:name w:val="footer"/>
    <w:basedOn w:val="Normal"/>
    <w:link w:val="FooterChar"/>
    <w:uiPriority w:val="99"/>
    <w:unhideWhenUsed/>
    <w:rsid w:val="00881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E62"/>
  </w:style>
  <w:style w:type="character" w:styleId="FollowedHyperlink">
    <w:name w:val="FollowedHyperlink"/>
    <w:basedOn w:val="DefaultParagraphFont"/>
    <w:uiPriority w:val="99"/>
    <w:semiHidden/>
    <w:unhideWhenUsed/>
    <w:rsid w:val="00961420"/>
    <w:rPr>
      <w:color w:val="954F72" w:themeColor="followedHyperlink"/>
      <w:u w:val="single"/>
    </w:rPr>
  </w:style>
  <w:style w:type="character" w:styleId="CommentReference">
    <w:name w:val="annotation reference"/>
    <w:basedOn w:val="DefaultParagraphFont"/>
    <w:uiPriority w:val="99"/>
    <w:semiHidden/>
    <w:unhideWhenUsed/>
    <w:rsid w:val="00AC7FCF"/>
    <w:rPr>
      <w:sz w:val="16"/>
      <w:szCs w:val="16"/>
    </w:rPr>
  </w:style>
  <w:style w:type="paragraph" w:styleId="CommentText">
    <w:name w:val="annotation text"/>
    <w:basedOn w:val="Normal"/>
    <w:link w:val="CommentTextChar"/>
    <w:uiPriority w:val="99"/>
    <w:semiHidden/>
    <w:unhideWhenUsed/>
    <w:rsid w:val="00AC7FCF"/>
    <w:pPr>
      <w:spacing w:line="240" w:lineRule="auto"/>
    </w:pPr>
    <w:rPr>
      <w:sz w:val="20"/>
      <w:szCs w:val="20"/>
    </w:rPr>
  </w:style>
  <w:style w:type="character" w:customStyle="1" w:styleId="CommentTextChar">
    <w:name w:val="Comment Text Char"/>
    <w:basedOn w:val="DefaultParagraphFont"/>
    <w:link w:val="CommentText"/>
    <w:uiPriority w:val="99"/>
    <w:semiHidden/>
    <w:rsid w:val="00AC7FCF"/>
    <w:rPr>
      <w:sz w:val="20"/>
      <w:szCs w:val="20"/>
    </w:rPr>
  </w:style>
  <w:style w:type="paragraph" w:styleId="CommentSubject">
    <w:name w:val="annotation subject"/>
    <w:basedOn w:val="CommentText"/>
    <w:next w:val="CommentText"/>
    <w:link w:val="CommentSubjectChar"/>
    <w:uiPriority w:val="99"/>
    <w:semiHidden/>
    <w:unhideWhenUsed/>
    <w:rsid w:val="00AC7FCF"/>
    <w:rPr>
      <w:b/>
      <w:bCs/>
    </w:rPr>
  </w:style>
  <w:style w:type="character" w:customStyle="1" w:styleId="CommentSubjectChar">
    <w:name w:val="Comment Subject Char"/>
    <w:basedOn w:val="CommentTextChar"/>
    <w:link w:val="CommentSubject"/>
    <w:uiPriority w:val="99"/>
    <w:semiHidden/>
    <w:rsid w:val="00AC7F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