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80950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F45C33" w:rsidP="00381FFF">
      <w:pPr>
        <w:suppressAutoHyphens/>
        <w:jc w:val="center"/>
        <w:outlineLvl w:val="0"/>
        <w:rPr>
          <w:szCs w:val="24"/>
        </w:rPr>
      </w:pPr>
      <w:r>
        <w:rPr>
          <w:szCs w:val="24"/>
        </w:rPr>
        <w:t>9050 Junction Drive</w:t>
      </w:r>
    </w:p>
    <w:p w:rsidR="00F45C33" w:rsidP="00381FFF">
      <w:pPr>
        <w:suppressAutoHyphens/>
        <w:jc w:val="center"/>
        <w:outlineLvl w:val="0"/>
        <w:rPr>
          <w:szCs w:val="24"/>
        </w:rPr>
      </w:pPr>
      <w:r>
        <w:rPr>
          <w:szCs w:val="24"/>
        </w:rPr>
        <w:t>Annapolis</w:t>
      </w:r>
      <w:r w:rsidR="00106020">
        <w:rPr>
          <w:szCs w:val="24"/>
        </w:rPr>
        <w:t xml:space="preserve"> Junction</w:t>
      </w:r>
      <w:r>
        <w:rPr>
          <w:szCs w:val="24"/>
        </w:rPr>
        <w:t>, Maryland 20701</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84048D" w:rsidP="00381FFF">
      <w:pPr>
        <w:suppressAutoHyphens/>
        <w:jc w:val="center"/>
        <w:rPr>
          <w:szCs w:val="24"/>
        </w:rPr>
      </w:pPr>
      <w:r>
        <w:rPr>
          <w:szCs w:val="24"/>
        </w:rPr>
        <w:t>May 17, 2019</w:t>
      </w:r>
    </w:p>
    <w:p w:rsidR="002A6861" w:rsidP="00381FFF">
      <w:pPr>
        <w:suppressAutoHyphens/>
        <w:rPr>
          <w:szCs w:val="24"/>
        </w:rPr>
      </w:pPr>
    </w:p>
    <w:p w:rsidR="002A6861" w:rsidP="00381FFF">
      <w:pPr>
        <w:suppressAutoHyphens/>
        <w:rPr>
          <w:szCs w:val="24"/>
        </w:rPr>
      </w:pPr>
      <w:r>
        <w:rPr>
          <w:szCs w:val="24"/>
        </w:rPr>
        <w:t>1539-1547 Pitkin Ave</w:t>
      </w:r>
      <w:r w:rsidR="002C4083">
        <w:rPr>
          <w:szCs w:val="24"/>
        </w:rPr>
        <w:t>nue</w:t>
      </w:r>
      <w:r>
        <w:rPr>
          <w:szCs w:val="24"/>
        </w:rPr>
        <w:t xml:space="preserve"> Realty LLC</w:t>
      </w:r>
    </w:p>
    <w:p w:rsidR="00381FFF" w:rsidP="00650FDB">
      <w:pPr>
        <w:widowControl/>
        <w:rPr>
          <w:b/>
          <w:sz w:val="22"/>
        </w:rPr>
      </w:pPr>
      <w:r w:rsidRPr="00650FDB">
        <w:rPr>
          <w:szCs w:val="24"/>
        </w:rPr>
        <w:t>B</w:t>
      </w:r>
      <w:r>
        <w:rPr>
          <w:szCs w:val="24"/>
        </w:rPr>
        <w:t>rooklyn</w:t>
      </w:r>
      <w:r w:rsidRPr="00650FDB">
        <w:rPr>
          <w:szCs w:val="24"/>
        </w:rPr>
        <w:t>, N</w:t>
      </w:r>
      <w:r w:rsidR="00106020">
        <w:rPr>
          <w:szCs w:val="24"/>
        </w:rPr>
        <w:t>ew York</w:t>
      </w:r>
    </w:p>
    <w:p w:rsidR="002A6861"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F3757B">
        <w:t>8</w:t>
      </w:r>
      <w:r w:rsidRPr="00654C1D">
        <w:t>-000</w:t>
      </w:r>
      <w:r w:rsidR="004172AE">
        <w:t>2</w:t>
      </w:r>
      <w:r w:rsidR="008E6020">
        <w:t>8</w:t>
      </w:r>
      <w:r w:rsidR="0021499B">
        <w:t>120</w:t>
      </w:r>
    </w:p>
    <w:p w:rsidR="00381FFF" w:rsidRPr="00955407" w:rsidP="00381FFF">
      <w:pPr>
        <w:pStyle w:val="Header"/>
        <w:widowControl/>
        <w:tabs>
          <w:tab w:val="clear" w:pos="4320"/>
          <w:tab w:val="clear" w:pos="8640"/>
        </w:tabs>
        <w:rPr>
          <w:b/>
          <w:szCs w:val="24"/>
          <w:highlight w:val="yellow"/>
        </w:rPr>
      </w:pPr>
    </w:p>
    <w:p w:rsidR="00381FFF" w:rsidRPr="00650FDB" w:rsidP="00650FDB">
      <w:pPr>
        <w:widowControl/>
        <w:rPr>
          <w:color w:val="000000"/>
        </w:rPr>
      </w:pPr>
      <w:r>
        <w:rPr>
          <w:color w:val="000000"/>
        </w:rPr>
        <w:t xml:space="preserve">On </w:t>
      </w:r>
      <w:r w:rsidR="00650FDB">
        <w:rPr>
          <w:color w:val="000000"/>
        </w:rPr>
        <w:t>December</w:t>
      </w:r>
      <w:r w:rsidR="004172AE">
        <w:rPr>
          <w:color w:val="000000"/>
        </w:rPr>
        <w:t xml:space="preserve"> </w:t>
      </w:r>
      <w:r w:rsidR="00650FDB">
        <w:rPr>
          <w:color w:val="000000"/>
        </w:rPr>
        <w:t>1</w:t>
      </w:r>
      <w:r w:rsidR="008E6020">
        <w:rPr>
          <w:color w:val="000000"/>
        </w:rPr>
        <w:t>2</w:t>
      </w:r>
      <w:r w:rsidRPr="00B73C22">
        <w:rPr>
          <w:color w:val="000000" w:themeColor="text1"/>
          <w:szCs w:val="24"/>
        </w:rPr>
        <w:t>, 201</w:t>
      </w:r>
      <w:r w:rsidR="00650FDB">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w:t>
      </w:r>
      <w:r w:rsidR="00650FDB">
        <w:rPr>
          <w:color w:val="000000" w:themeColor="text1"/>
          <w:szCs w:val="24"/>
        </w:rPr>
        <w:t>Columbia and Chicago</w:t>
      </w:r>
      <w:r>
        <w:rPr>
          <w:color w:val="000000" w:themeColor="text1"/>
          <w:szCs w:val="24"/>
        </w:rPr>
        <w:t xml:space="preserve"> Office</w:t>
      </w:r>
      <w:r w:rsidR="00106020">
        <w:rPr>
          <w:color w:val="000000" w:themeColor="text1"/>
          <w:szCs w:val="24"/>
        </w:rPr>
        <w:t>s</w:t>
      </w:r>
      <w:r>
        <w:rPr>
          <w:color w:val="000000" w:themeColor="text1"/>
          <w:szCs w:val="24"/>
        </w:rPr>
        <w:t xml:space="preserve"> of the Federal Communications Commission’s (FCC’s or Commission’s) Enforcement Bureau (Bureau) </w:t>
      </w:r>
      <w:r w:rsidR="00324403">
        <w:rPr>
          <w:color w:val="000000" w:themeColor="text1"/>
          <w:szCs w:val="24"/>
        </w:rPr>
        <w:t xml:space="preserve">investigated an unlicensed FM station operating on the frequency </w:t>
      </w:r>
      <w:r w:rsidR="003437A2">
        <w:rPr>
          <w:color w:val="000000" w:themeColor="text1"/>
          <w:szCs w:val="24"/>
        </w:rPr>
        <w:t>92.5</w:t>
      </w:r>
      <w:r w:rsidR="0028661F">
        <w:rPr>
          <w:color w:val="000000"/>
        </w:rPr>
        <w:t xml:space="preserve"> MHz in </w:t>
      </w:r>
      <w:r w:rsidR="00324403">
        <w:rPr>
          <w:color w:val="000000"/>
        </w:rPr>
        <w:t xml:space="preserve">the </w:t>
      </w:r>
      <w:r w:rsidR="008E6020">
        <w:rPr>
          <w:color w:val="000000"/>
        </w:rPr>
        <w:t>Brownsville</w:t>
      </w:r>
      <w:r w:rsidR="00650FDB">
        <w:rPr>
          <w:color w:val="000000"/>
        </w:rPr>
        <w:t xml:space="preserve"> </w:t>
      </w:r>
      <w:r w:rsidR="0028661F">
        <w:rPr>
          <w:color w:val="000000"/>
        </w:rPr>
        <w:t>area</w:t>
      </w:r>
      <w:r w:rsidR="00650FDB">
        <w:rPr>
          <w:color w:val="000000"/>
        </w:rPr>
        <w:t xml:space="preserve"> of Brooklyn</w:t>
      </w:r>
      <w:r w:rsidR="00106020">
        <w:rPr>
          <w:color w:val="000000"/>
        </w:rPr>
        <w:t>, New York</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21499B">
        <w:rPr>
          <w:color w:val="000000"/>
        </w:rPr>
        <w:t>92.5</w:t>
      </w:r>
      <w:r w:rsidR="00650FDB">
        <w:rPr>
          <w:color w:val="000000"/>
        </w:rPr>
        <w:t xml:space="preserve"> </w:t>
      </w:r>
      <w:r w:rsidRPr="004D5B02">
        <w:rPr>
          <w:color w:val="000000"/>
        </w:rPr>
        <w:t xml:space="preserve">MHz were emanating from </w:t>
      </w:r>
      <w:r w:rsidR="00106020">
        <w:rPr>
          <w:color w:val="000000"/>
        </w:rPr>
        <w:t xml:space="preserve">a commercial property located at </w:t>
      </w:r>
      <w:r w:rsidR="0021499B">
        <w:rPr>
          <w:color w:val="000000"/>
        </w:rPr>
        <w:t>1539 Pitkin Avenue</w:t>
      </w:r>
      <w:r w:rsidR="00650FDB">
        <w:rPr>
          <w:color w:val="000000"/>
        </w:rPr>
        <w:t xml:space="preserve">, </w:t>
      </w:r>
      <w:r w:rsidRPr="00650FDB" w:rsidR="00650FDB">
        <w:rPr>
          <w:color w:val="000000"/>
        </w:rPr>
        <w:t>Brooklyn, N</w:t>
      </w:r>
      <w:r w:rsidR="00106020">
        <w:rPr>
          <w:color w:val="000000"/>
        </w:rPr>
        <w:t xml:space="preserve">ew </w:t>
      </w:r>
      <w:r w:rsidRPr="00650FDB" w:rsidR="00650FDB">
        <w:rPr>
          <w:color w:val="000000"/>
        </w:rPr>
        <w:t>Y</w:t>
      </w:r>
      <w:r w:rsidR="00106020">
        <w:rPr>
          <w:color w:val="000000"/>
        </w:rPr>
        <w:t>ork</w:t>
      </w:r>
      <w:r>
        <w:rPr>
          <w:color w:val="000000"/>
        </w:rPr>
        <w:t xml:space="preserve">.  </w:t>
      </w:r>
      <w:r w:rsidR="002A6861">
        <w:rPr>
          <w:color w:val="000000" w:themeColor="text1"/>
        </w:rPr>
        <w:t xml:space="preserve">Public records list you as the owner of this property.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21499B">
        <w:rPr>
          <w:color w:val="000000"/>
        </w:rPr>
        <w:t>92.5</w:t>
      </w:r>
      <w:r>
        <w:rPr>
          <w:color w:val="000000"/>
        </w:rPr>
        <w:t xml:space="preserve"> MHz </w:t>
      </w:r>
      <w:r w:rsidRPr="00B75ECB">
        <w:rPr>
          <w:color w:val="000000"/>
        </w:rPr>
        <w:t xml:space="preserve">at this location </w:t>
      </w:r>
      <w:r w:rsidRPr="00B75ECB">
        <w:rPr>
          <w:color w:val="000000"/>
          <w:szCs w:val="24"/>
        </w:rPr>
        <w:t xml:space="preserve">in </w:t>
      </w:r>
      <w:r w:rsidR="00650FDB">
        <w:rPr>
          <w:color w:val="000000"/>
          <w:szCs w:val="24"/>
        </w:rPr>
        <w:t>Brooklyn</w:t>
      </w:r>
      <w:r w:rsidR="00106020">
        <w:rPr>
          <w:color w:val="000000"/>
          <w:szCs w:val="24"/>
        </w:rPr>
        <w:t>, New York</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21499B">
        <w:t>92.5</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106020">
        <w:t xml:space="preserve">On December 12, 2018,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21499B">
        <w:rPr>
          <w:color w:val="000000"/>
          <w:szCs w:val="24"/>
        </w:rPr>
        <w:t>92.5</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106020" w:rsidP="00106020">
      <w:pPr>
        <w:pStyle w:val="Default"/>
      </w:pPr>
      <w:bookmarkStart w:id="2" w:name="_Hlk531171065"/>
      <w:r w:rsidRPr="005D55E3">
        <w:rPr>
          <w:szCs w:val="22"/>
        </w:rPr>
        <w:t>Operation of radio transmitting equipment without a valid FCC authorization or license is a violation of Section 301 of the Act</w:t>
      </w:r>
      <w:r>
        <w:rPr>
          <w:rStyle w:val="FootnoteReference"/>
          <w:szCs w:val="22"/>
          <w:vertAlign w:val="superscript"/>
        </w:rPr>
        <w:footnoteReference w:id="6"/>
      </w:r>
      <w:r w:rsidRPr="005D55E3">
        <w:rPr>
          <w:szCs w:val="22"/>
          <w:vertAlign w:val="superscript"/>
        </w:rPr>
        <w:t xml:space="preserve"> </w:t>
      </w:r>
      <w:r w:rsidRPr="005D55E3">
        <w:rPr>
          <w:szCs w:val="22"/>
        </w:rPr>
        <w:t xml:space="preserve">and may subject the responsible parties to substantial monetary fines, in rem arrest action against the offending radio equipment, and criminal sanctions including imprisonment.   Because unlicensed operation creates a danger of </w:t>
      </w:r>
      <w:r w:rsidRPr="005D55E3">
        <w:rPr>
          <w:szCs w:val="22"/>
        </w:rPr>
        <w:t>interference to important radio communications services and may subject the operator to severe penalties, this letter emphasizes the importance of complying strictly with these legal requirements.</w:t>
      </w:r>
      <w:r>
        <w:rPr>
          <w:rStyle w:val="FootnoteReference"/>
          <w:szCs w:val="22"/>
          <w:vertAlign w:val="superscript"/>
        </w:rPr>
        <w:footnoteReference w:id="7"/>
      </w:r>
      <w:r w:rsidRPr="005D55E3">
        <w:rPr>
          <w:szCs w:val="22"/>
          <w:vertAlign w:val="superscript"/>
        </w:rPr>
        <w:t xml:space="preserve"> </w:t>
      </w:r>
      <w:bookmarkEnd w:id="2"/>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5CB2" w:rsidP="00381FFF">
      <w:r>
        <w:separator/>
      </w:r>
    </w:p>
  </w:footnote>
  <w:footnote w:type="continuationSeparator" w:id="1">
    <w:p w:rsidR="007C5CB2"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106020" w:rsidP="00106020">
      <w:pPr>
        <w:pStyle w:val="FootnoteText"/>
        <w:spacing w:after="120"/>
      </w:pPr>
      <w:r w:rsidRPr="00E02E6F">
        <w:rPr>
          <w:rStyle w:val="FootnoteReference"/>
          <w:vertAlign w:val="superscript"/>
        </w:rPr>
        <w:footnoteRef/>
      </w:r>
      <w:r>
        <w:t xml:space="preserve"> 47 U.S.C. § 301.</w:t>
      </w:r>
    </w:p>
  </w:footnote>
  <w:footnote w:id="7">
    <w:p w:rsidR="00106020" w:rsidP="00106020">
      <w:pPr>
        <w:pStyle w:val="FootnoteText"/>
        <w:spacing w:after="120"/>
      </w:pPr>
      <w:r w:rsidRPr="00E02E6F">
        <w:rPr>
          <w:rStyle w:val="FootnoteReference"/>
          <w:vertAlign w:val="superscript"/>
        </w:rPr>
        <w:footnoteRef/>
      </w:r>
      <w:r>
        <w:t xml:space="preserve"> </w:t>
      </w:r>
      <w:r w:rsidRPr="00F506D1">
        <w:rPr>
          <w:i/>
        </w:rPr>
        <w:t>See</w:t>
      </w:r>
      <w:r>
        <w:t xml:space="preserve"> </w:t>
      </w:r>
      <w:r w:rsidRPr="00295AAE">
        <w:t>47 U.S.C. §§ 401, 501, 503 and 510</w:t>
      </w:r>
      <w:r>
        <w:t>.</w:t>
      </w:r>
    </w:p>
  </w:footnote>
  <w:footnote w:id="8">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F3B">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21A97"/>
    <w:rsid w:val="000551CA"/>
    <w:rsid w:val="00060254"/>
    <w:rsid w:val="00083F2A"/>
    <w:rsid w:val="000D17B2"/>
    <w:rsid w:val="00106020"/>
    <w:rsid w:val="00125AF4"/>
    <w:rsid w:val="0014524B"/>
    <w:rsid w:val="00190AC3"/>
    <w:rsid w:val="001A22B7"/>
    <w:rsid w:val="001A4DE8"/>
    <w:rsid w:val="001B667E"/>
    <w:rsid w:val="0021499B"/>
    <w:rsid w:val="00254D36"/>
    <w:rsid w:val="0028661F"/>
    <w:rsid w:val="00295966"/>
    <w:rsid w:val="00295AAE"/>
    <w:rsid w:val="002A3871"/>
    <w:rsid w:val="002A6861"/>
    <w:rsid w:val="002C4083"/>
    <w:rsid w:val="002D158A"/>
    <w:rsid w:val="00324403"/>
    <w:rsid w:val="00331620"/>
    <w:rsid w:val="003437A2"/>
    <w:rsid w:val="00353435"/>
    <w:rsid w:val="0037411D"/>
    <w:rsid w:val="00381FFF"/>
    <w:rsid w:val="003B2582"/>
    <w:rsid w:val="003B7F3B"/>
    <w:rsid w:val="004172AE"/>
    <w:rsid w:val="004703FA"/>
    <w:rsid w:val="004774A0"/>
    <w:rsid w:val="004D5B02"/>
    <w:rsid w:val="004E291F"/>
    <w:rsid w:val="005160A1"/>
    <w:rsid w:val="005264F6"/>
    <w:rsid w:val="005B5AEB"/>
    <w:rsid w:val="005D55E3"/>
    <w:rsid w:val="005E7E13"/>
    <w:rsid w:val="0061337F"/>
    <w:rsid w:val="00624F4C"/>
    <w:rsid w:val="006330AD"/>
    <w:rsid w:val="00650FDB"/>
    <w:rsid w:val="00654C1D"/>
    <w:rsid w:val="006A2F52"/>
    <w:rsid w:val="00712ECA"/>
    <w:rsid w:val="007461BB"/>
    <w:rsid w:val="00775ACA"/>
    <w:rsid w:val="00780EDC"/>
    <w:rsid w:val="00792397"/>
    <w:rsid w:val="007C5CB2"/>
    <w:rsid w:val="007D1C58"/>
    <w:rsid w:val="007E5301"/>
    <w:rsid w:val="007E73CB"/>
    <w:rsid w:val="007F0E97"/>
    <w:rsid w:val="0084048D"/>
    <w:rsid w:val="0089535C"/>
    <w:rsid w:val="008A0C47"/>
    <w:rsid w:val="008A605A"/>
    <w:rsid w:val="008D5303"/>
    <w:rsid w:val="008E6020"/>
    <w:rsid w:val="008E6FE1"/>
    <w:rsid w:val="00955407"/>
    <w:rsid w:val="00957616"/>
    <w:rsid w:val="009709D6"/>
    <w:rsid w:val="00995FAA"/>
    <w:rsid w:val="009E636C"/>
    <w:rsid w:val="009F43B5"/>
    <w:rsid w:val="00A142AE"/>
    <w:rsid w:val="00A439F8"/>
    <w:rsid w:val="00A450E6"/>
    <w:rsid w:val="00A54271"/>
    <w:rsid w:val="00AB1D08"/>
    <w:rsid w:val="00AB400F"/>
    <w:rsid w:val="00B0315D"/>
    <w:rsid w:val="00B03D5D"/>
    <w:rsid w:val="00B56433"/>
    <w:rsid w:val="00B73C22"/>
    <w:rsid w:val="00B75ECB"/>
    <w:rsid w:val="00B82C77"/>
    <w:rsid w:val="00BA47F7"/>
    <w:rsid w:val="00BA55DB"/>
    <w:rsid w:val="00BB61E5"/>
    <w:rsid w:val="00C538E7"/>
    <w:rsid w:val="00C648A4"/>
    <w:rsid w:val="00CC41E5"/>
    <w:rsid w:val="00CF5447"/>
    <w:rsid w:val="00D150CF"/>
    <w:rsid w:val="00D54626"/>
    <w:rsid w:val="00D7523D"/>
    <w:rsid w:val="00D9702C"/>
    <w:rsid w:val="00DA0DB7"/>
    <w:rsid w:val="00DD33A0"/>
    <w:rsid w:val="00E011B4"/>
    <w:rsid w:val="00E407C6"/>
    <w:rsid w:val="00E509F3"/>
    <w:rsid w:val="00E84636"/>
    <w:rsid w:val="00E90F41"/>
    <w:rsid w:val="00EA6551"/>
    <w:rsid w:val="00EC1B09"/>
    <w:rsid w:val="00EF05ED"/>
    <w:rsid w:val="00F1583C"/>
    <w:rsid w:val="00F23FAE"/>
    <w:rsid w:val="00F3757B"/>
    <w:rsid w:val="00F45C33"/>
    <w:rsid w:val="00F506D1"/>
    <w:rsid w:val="00F53D63"/>
    <w:rsid w:val="00F8725B"/>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