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D12C53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D12C51A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57535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D12C51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D12C51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D12C51D" w14:textId="69F9FB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:rsidR="00FF232D" w:rsidRPr="008A3940" w:rsidP="00BB4E29" w14:paraId="2D12C51E" w14:textId="364267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="009653FE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D12C51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D12C52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D12C52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4E48" w:rsidRPr="00BB4E48" w:rsidP="00BB4E48" w14:paraId="2D12C522" w14:textId="0859A88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546E2F">
              <w:rPr>
                <w:b/>
                <w:bCs/>
                <w:sz w:val="26"/>
                <w:szCs w:val="26"/>
              </w:rPr>
              <w:t>MODERNIZES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5A1255">
              <w:rPr>
                <w:b/>
                <w:bCs/>
                <w:sz w:val="26"/>
                <w:szCs w:val="26"/>
              </w:rPr>
              <w:t>LEASED ACCESS RULES</w:t>
            </w:r>
            <w:r w:rsidR="002A1581">
              <w:rPr>
                <w:b/>
                <w:bCs/>
                <w:sz w:val="26"/>
                <w:szCs w:val="26"/>
              </w:rPr>
              <w:t xml:space="preserve"> FOR TODAY’S MEDIA MARKETPLACE</w:t>
            </w:r>
          </w:p>
          <w:p w:rsidR="00CC5E08" w:rsidRPr="008A3940" w:rsidP="00040127" w14:paraId="2D12C523" w14:textId="26AC5D6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Also </w:t>
            </w:r>
            <w:r w:rsidR="00CA2153">
              <w:rPr>
                <w:b/>
                <w:bCs/>
                <w:i/>
              </w:rPr>
              <w:t>P</w:t>
            </w:r>
            <w:r w:rsidR="002D5033">
              <w:rPr>
                <w:b/>
                <w:bCs/>
                <w:i/>
              </w:rPr>
              <w:t xml:space="preserve">roposes </w:t>
            </w:r>
            <w:r w:rsidR="00CA2153">
              <w:rPr>
                <w:b/>
                <w:bCs/>
                <w:i/>
              </w:rPr>
              <w:t>C</w:t>
            </w:r>
            <w:r w:rsidR="00A83310">
              <w:rPr>
                <w:b/>
                <w:bCs/>
                <w:i/>
              </w:rPr>
              <w:t xml:space="preserve">hange </w:t>
            </w:r>
            <w:r w:rsidR="003F4DF8">
              <w:rPr>
                <w:b/>
                <w:bCs/>
                <w:i/>
              </w:rPr>
              <w:t>t</w:t>
            </w:r>
            <w:r w:rsidR="00A83310">
              <w:rPr>
                <w:b/>
                <w:bCs/>
                <w:i/>
              </w:rPr>
              <w:t xml:space="preserve">o </w:t>
            </w:r>
            <w:r w:rsidR="00CA2153">
              <w:rPr>
                <w:b/>
                <w:bCs/>
                <w:i/>
              </w:rPr>
              <w:t>S</w:t>
            </w:r>
            <w:r w:rsidR="002D5033">
              <w:rPr>
                <w:b/>
                <w:bCs/>
                <w:i/>
              </w:rPr>
              <w:t xml:space="preserve">implify </w:t>
            </w:r>
            <w:r w:rsidR="00CA2153">
              <w:rPr>
                <w:b/>
                <w:bCs/>
                <w:i/>
              </w:rPr>
              <w:t>L</w:t>
            </w:r>
            <w:r w:rsidR="00A83310">
              <w:rPr>
                <w:b/>
                <w:bCs/>
                <w:i/>
              </w:rPr>
              <w:t xml:space="preserve">eased </w:t>
            </w:r>
            <w:r w:rsidR="00CA2153">
              <w:rPr>
                <w:b/>
                <w:bCs/>
                <w:i/>
              </w:rPr>
              <w:t>A</w:t>
            </w:r>
            <w:r w:rsidR="00A83310">
              <w:rPr>
                <w:b/>
                <w:bCs/>
                <w:i/>
              </w:rPr>
              <w:t xml:space="preserve">ccess </w:t>
            </w:r>
            <w:r w:rsidR="00CA2153">
              <w:rPr>
                <w:b/>
                <w:bCs/>
                <w:i/>
              </w:rPr>
              <w:t>R</w:t>
            </w:r>
            <w:r w:rsidR="00A83310">
              <w:rPr>
                <w:b/>
                <w:bCs/>
                <w:i/>
              </w:rPr>
              <w:t xml:space="preserve">ate </w:t>
            </w:r>
            <w:r w:rsidR="00CA2153">
              <w:rPr>
                <w:b/>
                <w:bCs/>
                <w:i/>
              </w:rPr>
              <w:t>F</w:t>
            </w:r>
            <w:r w:rsidR="00A83310">
              <w:rPr>
                <w:b/>
                <w:bCs/>
                <w:i/>
              </w:rPr>
              <w:t>ormula</w:t>
            </w:r>
          </w:p>
          <w:p w:rsidR="00F61155" w:rsidRPr="006B0A70" w:rsidP="00BB4E29" w14:paraId="2D12C52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040127" w14:paraId="2D12C525" w14:textId="40111EC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BB4E48">
              <w:rPr>
                <w:sz w:val="22"/>
                <w:szCs w:val="22"/>
              </w:rPr>
              <w:t>June 6</w:t>
            </w:r>
            <w:r w:rsidR="00065E2D">
              <w:rPr>
                <w:sz w:val="22"/>
                <w:szCs w:val="22"/>
              </w:rPr>
              <w:t>,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BB4E48">
              <w:rPr>
                <w:sz w:val="22"/>
                <w:szCs w:val="22"/>
              </w:rPr>
              <w:t xml:space="preserve">adopted a Report and Order and Second Further Notice of Proposed Rulemaking </w:t>
            </w:r>
            <w:r w:rsidR="00A83310">
              <w:rPr>
                <w:sz w:val="22"/>
                <w:szCs w:val="22"/>
              </w:rPr>
              <w:t>addressing</w:t>
            </w:r>
            <w:r w:rsidR="00BB4E48">
              <w:rPr>
                <w:sz w:val="22"/>
                <w:szCs w:val="22"/>
              </w:rPr>
              <w:t xml:space="preserve"> </w:t>
            </w:r>
            <w:r w:rsidR="002D5033">
              <w:rPr>
                <w:sz w:val="22"/>
                <w:szCs w:val="22"/>
              </w:rPr>
              <w:t xml:space="preserve">its </w:t>
            </w:r>
            <w:r w:rsidR="00BB4E48">
              <w:rPr>
                <w:sz w:val="22"/>
                <w:szCs w:val="22"/>
              </w:rPr>
              <w:t>leased access rules</w:t>
            </w:r>
            <w:r w:rsidR="00A820F8">
              <w:rPr>
                <w:sz w:val="22"/>
                <w:szCs w:val="22"/>
              </w:rPr>
              <w:t xml:space="preserve">.  </w:t>
            </w:r>
            <w:r w:rsidR="00BB4E48">
              <w:rPr>
                <w:sz w:val="22"/>
                <w:szCs w:val="22"/>
              </w:rPr>
              <w:t>The</w:t>
            </w:r>
            <w:r w:rsidR="009653FE">
              <w:rPr>
                <w:sz w:val="22"/>
                <w:szCs w:val="22"/>
              </w:rPr>
              <w:t>se</w:t>
            </w:r>
            <w:r w:rsidR="00BB4E48">
              <w:rPr>
                <w:sz w:val="22"/>
                <w:szCs w:val="22"/>
              </w:rPr>
              <w:t xml:space="preserve"> rules require cable operators to set aside channel capacity for commercial use by unaffiliated video programmers.  </w:t>
            </w:r>
            <w:r w:rsidR="00A820F8">
              <w:rPr>
                <w:sz w:val="22"/>
                <w:szCs w:val="22"/>
              </w:rPr>
              <w:t>This is the 13</w:t>
            </w:r>
            <w:r w:rsidRPr="00A820F8" w:rsidR="00A820F8">
              <w:rPr>
                <w:sz w:val="22"/>
                <w:szCs w:val="22"/>
                <w:vertAlign w:val="superscript"/>
              </w:rPr>
              <w:t>th</w:t>
            </w:r>
            <w:r w:rsidR="00A820F8">
              <w:rPr>
                <w:sz w:val="22"/>
                <w:szCs w:val="22"/>
              </w:rPr>
              <w:t xml:space="preserve"> Order adopted as part of the Commission</w:t>
            </w:r>
            <w:r w:rsidR="001453F7">
              <w:rPr>
                <w:sz w:val="22"/>
                <w:szCs w:val="22"/>
              </w:rPr>
              <w:t>’s</w:t>
            </w:r>
            <w:r w:rsidR="00A820F8">
              <w:rPr>
                <w:sz w:val="22"/>
                <w:szCs w:val="22"/>
              </w:rPr>
              <w:t xml:space="preserve"> Modernization of Media Regulation Initiative.  </w:t>
            </w:r>
          </w:p>
          <w:p w:rsidR="00BB4E48" w:rsidP="00040127" w14:paraId="2D12C52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A1581" w:rsidP="00040127" w14:paraId="2D12C527" w14:textId="6BD5B6AA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Report and Order, the Commission first vacates the </w:t>
            </w:r>
            <w:r>
              <w:rPr>
                <w:i/>
                <w:sz w:val="22"/>
                <w:szCs w:val="22"/>
              </w:rPr>
              <w:t>2008 Leased Access Order</w:t>
            </w:r>
            <w:r>
              <w:rPr>
                <w:sz w:val="22"/>
                <w:szCs w:val="22"/>
              </w:rPr>
              <w:t xml:space="preserve">, which never went into effect due to a judicial stay and the Office of Management and Budget’s disapproval of the associated information collection requirements.  </w:t>
            </w:r>
            <w:r w:rsidR="00546E2F">
              <w:rPr>
                <w:sz w:val="22"/>
                <w:szCs w:val="22"/>
              </w:rPr>
              <w:t xml:space="preserve">The Commission found that </w:t>
            </w:r>
            <w:r>
              <w:rPr>
                <w:sz w:val="22"/>
                <w:szCs w:val="22"/>
              </w:rPr>
              <w:t xml:space="preserve">vacating </w:t>
            </w:r>
            <w:r w:rsidR="003E423F">
              <w:rPr>
                <w:sz w:val="22"/>
                <w:szCs w:val="22"/>
              </w:rPr>
              <w:t>burdensome requirements set forth in the 2008 Order as</w:t>
            </w:r>
            <w:r>
              <w:rPr>
                <w:sz w:val="22"/>
                <w:szCs w:val="22"/>
              </w:rPr>
              <w:t xml:space="preserve"> consistent with today’s highly competitive </w:t>
            </w:r>
            <w:r w:rsidR="00A83310">
              <w:rPr>
                <w:sz w:val="22"/>
                <w:szCs w:val="22"/>
              </w:rPr>
              <w:t xml:space="preserve">video </w:t>
            </w:r>
            <w:r>
              <w:rPr>
                <w:sz w:val="22"/>
                <w:szCs w:val="22"/>
              </w:rPr>
              <w:t>marketplace.</w:t>
            </w:r>
            <w:r w:rsidR="003920DF">
              <w:rPr>
                <w:sz w:val="22"/>
                <w:szCs w:val="22"/>
              </w:rPr>
              <w:t xml:space="preserve">  </w:t>
            </w:r>
          </w:p>
          <w:p w:rsidR="002A1581" w:rsidP="00040127" w14:paraId="2D12C52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B4E48" w:rsidP="00040127" w14:paraId="2D12C529" w14:textId="00CD8ED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Second, the Report and Order </w:t>
            </w:r>
            <w:r w:rsidR="00546E2F">
              <w:rPr>
                <w:sz w:val="22"/>
                <w:szCs w:val="22"/>
              </w:rPr>
              <w:t>streamlines</w:t>
            </w:r>
            <w:r>
              <w:rPr>
                <w:sz w:val="22"/>
                <w:szCs w:val="22"/>
              </w:rPr>
              <w:t xml:space="preserve"> the Commission’s existing leased access rules.  </w:t>
            </w:r>
            <w:r w:rsidR="003920DF">
              <w:rPr>
                <w:sz w:val="22"/>
                <w:szCs w:val="22"/>
              </w:rPr>
              <w:t>For example</w:t>
            </w:r>
            <w:r>
              <w:rPr>
                <w:sz w:val="22"/>
                <w:szCs w:val="22"/>
              </w:rPr>
              <w:t xml:space="preserve">, it eliminates the requirement that cable operators make leased access available on a part-time basis, and it </w:t>
            </w:r>
            <w:r w:rsidR="00862A8C">
              <w:rPr>
                <w:sz w:val="22"/>
                <w:szCs w:val="22"/>
              </w:rPr>
              <w:t xml:space="preserve">modifies the Commission’s rules to </w:t>
            </w:r>
            <w:r>
              <w:rPr>
                <w:sz w:val="22"/>
                <w:szCs w:val="22"/>
              </w:rPr>
              <w:t>require cable operators</w:t>
            </w:r>
            <w:r w:rsidR="00862A8C">
              <w:rPr>
                <w:sz w:val="22"/>
                <w:szCs w:val="22"/>
              </w:rPr>
              <w:t>, regardless of system size,</w:t>
            </w:r>
            <w:r>
              <w:rPr>
                <w:sz w:val="22"/>
                <w:szCs w:val="22"/>
              </w:rPr>
              <w:t xml:space="preserve"> to respond only to bona fide requests from prospective leased access programmers.  </w:t>
            </w:r>
          </w:p>
          <w:p w:rsidR="003920DF" w:rsidP="00040127" w14:paraId="2D12C52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B4E48" w:rsidP="00040127" w14:paraId="2D12C52B" w14:textId="101C50B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Second Further Notice, the Commission</w:t>
            </w:r>
            <w:r w:rsidR="00862A8C">
              <w:rPr>
                <w:sz w:val="22"/>
                <w:szCs w:val="22"/>
              </w:rPr>
              <w:t xml:space="preserve"> seeks comment on</w:t>
            </w:r>
            <w:r>
              <w:rPr>
                <w:sz w:val="22"/>
                <w:szCs w:val="22"/>
              </w:rPr>
              <w:t xml:space="preserve"> </w:t>
            </w:r>
            <w:r w:rsidR="00862A8C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propos</w:t>
            </w:r>
            <w:r w:rsidR="00862A8C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to </w:t>
            </w:r>
            <w:r w:rsidR="00862A8C">
              <w:rPr>
                <w:sz w:val="22"/>
                <w:szCs w:val="22"/>
              </w:rPr>
              <w:t xml:space="preserve">simplify </w:t>
            </w:r>
            <w:r>
              <w:rPr>
                <w:sz w:val="22"/>
                <w:szCs w:val="22"/>
              </w:rPr>
              <w:t xml:space="preserve">the leased access rate formula so that rates will be specific to the tier on which the programming is carried.  </w:t>
            </w:r>
          </w:p>
          <w:p w:rsidR="001C104E" w:rsidP="00040127" w14:paraId="29511AAE" w14:textId="2779406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C104E" w:rsidRPr="001C104E" w:rsidP="001C104E" w14:paraId="7A3B33E8" w14:textId="3AB6C33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C104E">
              <w:rPr>
                <w:sz w:val="22"/>
                <w:szCs w:val="22"/>
              </w:rPr>
              <w:t>Action by the Commission June 6, 2019 by Report and Order and Second Further Notice of Proposed Rulemaking (FCC 19-52).  Chairman Pai, Commissioners O’Rielly and Carr, approving.  Commissioners Rosenworcel and Starks approving in part and dissenting in part.  Chairman Pai, Commissioners O’Rielly, Carr, Rosenworcel, and Starks issuing separate statements.</w:t>
            </w:r>
          </w:p>
          <w:p w:rsidR="001C104E" w:rsidRPr="001C104E" w:rsidP="001C104E" w14:paraId="4C43386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C104E" w:rsidRPr="00BB4E48" w:rsidP="001C104E" w14:paraId="71A89C49" w14:textId="49D6A6B2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C104E">
              <w:rPr>
                <w:sz w:val="22"/>
                <w:szCs w:val="22"/>
              </w:rPr>
              <w:t>MB Docket Nos. 07-42, 17-105</w:t>
            </w:r>
          </w:p>
          <w:p w:rsidR="00BD19E8" w:rsidRPr="007475A1" w:rsidP="00DA7B44" w14:paraId="2D12C530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2D12C53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D12C53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D12C53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D12C53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D12C536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64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C708C"/>
    <w:rsid w:val="000E049E"/>
    <w:rsid w:val="0010799B"/>
    <w:rsid w:val="00117DB2"/>
    <w:rsid w:val="00123ED2"/>
    <w:rsid w:val="00125BE0"/>
    <w:rsid w:val="00132E7A"/>
    <w:rsid w:val="00142C13"/>
    <w:rsid w:val="001453F7"/>
    <w:rsid w:val="00152776"/>
    <w:rsid w:val="00153222"/>
    <w:rsid w:val="001577D3"/>
    <w:rsid w:val="001733A6"/>
    <w:rsid w:val="001865A9"/>
    <w:rsid w:val="00187DB2"/>
    <w:rsid w:val="001B20BB"/>
    <w:rsid w:val="001C104E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188C"/>
    <w:rsid w:val="00266966"/>
    <w:rsid w:val="00285C36"/>
    <w:rsid w:val="00294C0C"/>
    <w:rsid w:val="002A0934"/>
    <w:rsid w:val="002A1581"/>
    <w:rsid w:val="002B1013"/>
    <w:rsid w:val="002D03E5"/>
    <w:rsid w:val="002D5033"/>
    <w:rsid w:val="002D6F80"/>
    <w:rsid w:val="002E3F1D"/>
    <w:rsid w:val="002F31D0"/>
    <w:rsid w:val="00300359"/>
    <w:rsid w:val="0031773E"/>
    <w:rsid w:val="00333871"/>
    <w:rsid w:val="00344DF5"/>
    <w:rsid w:val="00347716"/>
    <w:rsid w:val="003506E1"/>
    <w:rsid w:val="003727E3"/>
    <w:rsid w:val="00385A93"/>
    <w:rsid w:val="003910F1"/>
    <w:rsid w:val="003920DF"/>
    <w:rsid w:val="003E423F"/>
    <w:rsid w:val="003E42FC"/>
    <w:rsid w:val="003E5991"/>
    <w:rsid w:val="003F344A"/>
    <w:rsid w:val="003F4DF8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4528"/>
    <w:rsid w:val="00545DAE"/>
    <w:rsid w:val="00546E2F"/>
    <w:rsid w:val="00571B83"/>
    <w:rsid w:val="00575A00"/>
    <w:rsid w:val="0058673C"/>
    <w:rsid w:val="005A1255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385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2A8C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653FE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63B87"/>
    <w:rsid w:val="00A702DF"/>
    <w:rsid w:val="00A775A3"/>
    <w:rsid w:val="00A81700"/>
    <w:rsid w:val="00A81B5B"/>
    <w:rsid w:val="00A820F8"/>
    <w:rsid w:val="00A82FAD"/>
    <w:rsid w:val="00A83310"/>
    <w:rsid w:val="00A9673A"/>
    <w:rsid w:val="00A96EF2"/>
    <w:rsid w:val="00AA4164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37E6A"/>
    <w:rsid w:val="00B4568B"/>
    <w:rsid w:val="00B55897"/>
    <w:rsid w:val="00B57131"/>
    <w:rsid w:val="00B62F2C"/>
    <w:rsid w:val="00B727C9"/>
    <w:rsid w:val="00B735C8"/>
    <w:rsid w:val="00B76A63"/>
    <w:rsid w:val="00BA6350"/>
    <w:rsid w:val="00BB4E29"/>
    <w:rsid w:val="00BB4E48"/>
    <w:rsid w:val="00BB74C9"/>
    <w:rsid w:val="00BC3AB6"/>
    <w:rsid w:val="00BD0B4F"/>
    <w:rsid w:val="00BD19E8"/>
    <w:rsid w:val="00BD4273"/>
    <w:rsid w:val="00C31ED8"/>
    <w:rsid w:val="00C432E4"/>
    <w:rsid w:val="00C70C26"/>
    <w:rsid w:val="00C72001"/>
    <w:rsid w:val="00C772B7"/>
    <w:rsid w:val="00C80347"/>
    <w:rsid w:val="00CA2153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56F"/>
    <w:rsid w:val="00D46CB1"/>
    <w:rsid w:val="00D70CF2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67AF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2EE2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465FD5B-A017-4AF1-9608-ADAD912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AA4164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A41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