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514E07F" w14:textId="77777777" w:rsidTr="007E4ACE">
        <w:tblPrEx>
          <w:tblW w:w="0" w:type="auto"/>
          <w:tblLook w:val="0000"/>
        </w:tblPrEx>
        <w:trPr>
          <w:trHeight w:val="8748"/>
        </w:trPr>
        <w:tc>
          <w:tcPr>
            <w:tcW w:w="8640" w:type="dxa"/>
          </w:tcPr>
          <w:p w:rsidR="003E54AF" w:rsidRPr="001749CC" w:rsidP="003E54AF" w14:paraId="128A7209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 w:rsidRPr="001749CC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0450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4AF" w:rsidRPr="001749CC" w:rsidP="003E54AF" w14:paraId="64458A73" w14:textId="77777777">
            <w:pPr>
              <w:rPr>
                <w:b/>
                <w:bCs/>
                <w:sz w:val="12"/>
                <w:szCs w:val="12"/>
              </w:rPr>
            </w:pPr>
          </w:p>
          <w:p w:rsidR="003E54AF" w:rsidRPr="001749CC" w:rsidP="003E54AF" w14:paraId="5ADD4D0B" w14:textId="77777777">
            <w:pPr>
              <w:rPr>
                <w:b/>
                <w:bCs/>
                <w:sz w:val="22"/>
                <w:szCs w:val="22"/>
              </w:rPr>
            </w:pPr>
            <w:r w:rsidRPr="001749CC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E54AF" w:rsidRPr="001749CC" w:rsidP="003E54AF" w14:paraId="76E19514" w14:textId="1FA9B8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Chelsea Fallon</w:t>
            </w:r>
            <w:r w:rsidRPr="001749CC">
              <w:rPr>
                <w:bCs/>
                <w:sz w:val="22"/>
                <w:szCs w:val="22"/>
              </w:rPr>
              <w:t>, (202) 418-</w:t>
            </w:r>
            <w:r>
              <w:rPr>
                <w:bCs/>
                <w:sz w:val="22"/>
                <w:szCs w:val="22"/>
              </w:rPr>
              <w:t>7991</w:t>
            </w:r>
          </w:p>
          <w:p w:rsidR="003E54AF" w:rsidRPr="001749CC" w:rsidP="003E54AF" w14:paraId="47212AA8" w14:textId="702F83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chelsea.fallon</w:t>
            </w:r>
            <w:r w:rsidRPr="001749CC">
              <w:rPr>
                <w:bCs/>
                <w:sz w:val="22"/>
                <w:szCs w:val="22"/>
              </w:rPr>
              <w:t>@fcc.gov</w:t>
            </w:r>
          </w:p>
          <w:p w:rsidR="003E54AF" w:rsidRPr="001749CC" w:rsidP="003E54AF" w14:paraId="5E6E5BC0" w14:textId="77777777">
            <w:pPr>
              <w:rPr>
                <w:bCs/>
                <w:sz w:val="22"/>
                <w:szCs w:val="22"/>
              </w:rPr>
            </w:pPr>
          </w:p>
          <w:p w:rsidR="003E54AF" w:rsidRPr="001749CC" w:rsidP="003E54AF" w14:paraId="4AC2C418" w14:textId="77777777">
            <w:pPr>
              <w:rPr>
                <w:b/>
                <w:sz w:val="22"/>
                <w:szCs w:val="22"/>
              </w:rPr>
            </w:pPr>
            <w:r w:rsidRPr="001749CC">
              <w:rPr>
                <w:b/>
                <w:sz w:val="22"/>
                <w:szCs w:val="22"/>
              </w:rPr>
              <w:t>For Immediate Release</w:t>
            </w:r>
          </w:p>
          <w:p w:rsidR="003E54AF" w:rsidRPr="001749CC" w:rsidP="003E54AF" w14:paraId="2CE9A36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54AF" w:rsidRPr="001749CC" w:rsidP="00B47877" w14:paraId="1A2ED30E" w14:textId="4E0071B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1" w:name="_Hlk523146880"/>
            <w:r w:rsidRPr="001749CC">
              <w:rPr>
                <w:b/>
                <w:bCs/>
                <w:sz w:val="26"/>
                <w:szCs w:val="26"/>
              </w:rPr>
              <w:t xml:space="preserve">FCC AUTHORIZES </w:t>
            </w:r>
            <w:r w:rsidR="00435AF6">
              <w:rPr>
                <w:b/>
                <w:bCs/>
                <w:sz w:val="26"/>
                <w:szCs w:val="26"/>
              </w:rPr>
              <w:t xml:space="preserve">SECOND </w:t>
            </w:r>
            <w:r w:rsidRPr="001749CC">
              <w:rPr>
                <w:b/>
                <w:bCs/>
                <w:sz w:val="26"/>
                <w:szCs w:val="26"/>
              </w:rPr>
              <w:t>WAVE OF FUNDING FOR RURAL BROADBAND FROM CONNECT AMERICA FUND AUCTION</w:t>
            </w:r>
          </w:p>
          <w:bookmarkEnd w:id="1"/>
          <w:p w:rsidR="008164E5" w:rsidRPr="002E4D7A" w:rsidP="00B47877" w14:paraId="116386BF" w14:textId="15E7BD3B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2E4D7A">
              <w:rPr>
                <w:b/>
                <w:i/>
              </w:rPr>
              <w:t xml:space="preserve">Another Round of </w:t>
            </w:r>
            <w:r w:rsidRPr="002E4D7A" w:rsidR="0069506E">
              <w:rPr>
                <w:b/>
                <w:i/>
              </w:rPr>
              <w:t>Funding</w:t>
            </w:r>
            <w:r w:rsidRPr="002E4D7A" w:rsidR="0060111F">
              <w:rPr>
                <w:b/>
                <w:i/>
              </w:rPr>
              <w:t xml:space="preserve"> Starts This Month for Broadband </w:t>
            </w:r>
            <w:r w:rsidRPr="002E4D7A" w:rsidR="00EE53E5">
              <w:rPr>
                <w:b/>
                <w:i/>
              </w:rPr>
              <w:t xml:space="preserve">Buildout </w:t>
            </w:r>
          </w:p>
          <w:p w:rsidR="003E54AF" w:rsidRPr="001749CC" w:rsidP="00B47877" w14:paraId="32350BE1" w14:textId="4F4B58A4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2E4D7A">
              <w:rPr>
                <w:b/>
                <w:i/>
              </w:rPr>
              <w:t xml:space="preserve">in Rural Communities in </w:t>
            </w:r>
            <w:r w:rsidRPr="002E4D7A" w:rsidR="002E4D7A">
              <w:rPr>
                <w:b/>
                <w:i/>
              </w:rPr>
              <w:t>22</w:t>
            </w:r>
            <w:r w:rsidRPr="002E4D7A">
              <w:rPr>
                <w:b/>
                <w:i/>
              </w:rPr>
              <w:t xml:space="preserve"> States</w:t>
            </w:r>
          </w:p>
          <w:p w:rsidR="003E54AF" w:rsidRPr="001749CC" w:rsidP="003E54AF" w14:paraId="38157CF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1749CC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1749CC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7A26A1" w:rsidRPr="001749CC" w:rsidP="003E54AF" w14:paraId="2B673153" w14:textId="51FF3835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2" w:name="_Hlk522119578"/>
            <w:r w:rsidRPr="001749CC">
              <w:rPr>
                <w:sz w:val="22"/>
                <w:szCs w:val="22"/>
              </w:rPr>
              <w:t xml:space="preserve">WASHINGTON, </w:t>
            </w:r>
            <w:r w:rsidR="00435AF6">
              <w:rPr>
                <w:sz w:val="22"/>
                <w:szCs w:val="22"/>
              </w:rPr>
              <w:t>June 10</w:t>
            </w:r>
            <w:r w:rsidRPr="001749CC">
              <w:rPr>
                <w:sz w:val="22"/>
                <w:szCs w:val="22"/>
              </w:rPr>
              <w:t xml:space="preserve">, </w:t>
            </w:r>
            <w:r w:rsidRPr="001749CC" w:rsidR="003A6C1C">
              <w:rPr>
                <w:sz w:val="22"/>
                <w:szCs w:val="22"/>
              </w:rPr>
              <w:t>2019</w:t>
            </w:r>
            <w:r w:rsidRPr="001749CC">
              <w:rPr>
                <w:sz w:val="22"/>
                <w:szCs w:val="22"/>
              </w:rPr>
              <w:t>—</w:t>
            </w:r>
            <w:r w:rsidRPr="001749CC" w:rsidR="003A6C1C">
              <w:rPr>
                <w:sz w:val="22"/>
                <w:szCs w:val="22"/>
              </w:rPr>
              <w:t>The FCC today authorized</w:t>
            </w:r>
            <w:r w:rsidR="00C063E2">
              <w:rPr>
                <w:sz w:val="22"/>
                <w:szCs w:val="22"/>
              </w:rPr>
              <w:t xml:space="preserve"> </w:t>
            </w:r>
            <w:r w:rsidRPr="001749CC" w:rsidR="00D731E7">
              <w:rPr>
                <w:sz w:val="22"/>
                <w:szCs w:val="22"/>
              </w:rPr>
              <w:t>$1</w:t>
            </w:r>
            <w:r w:rsidR="002E4D7A">
              <w:rPr>
                <w:sz w:val="22"/>
                <w:szCs w:val="22"/>
              </w:rPr>
              <w:t>6</w:t>
            </w:r>
            <w:r w:rsidR="009F45BE">
              <w:rPr>
                <w:sz w:val="22"/>
                <w:szCs w:val="22"/>
              </w:rPr>
              <w:t>6.8</w:t>
            </w:r>
            <w:r w:rsidRPr="001749CC" w:rsidR="00D731E7">
              <w:rPr>
                <w:sz w:val="22"/>
                <w:szCs w:val="22"/>
              </w:rPr>
              <w:t xml:space="preserve"> million in</w:t>
            </w:r>
            <w:r w:rsidRPr="001749CC" w:rsidR="003A6C1C">
              <w:rPr>
                <w:sz w:val="22"/>
                <w:szCs w:val="22"/>
              </w:rPr>
              <w:t xml:space="preserve"> funding</w:t>
            </w:r>
            <w:r w:rsidR="00E909CC">
              <w:rPr>
                <w:sz w:val="22"/>
                <w:szCs w:val="22"/>
              </w:rPr>
              <w:t xml:space="preserve"> over the next decade</w:t>
            </w:r>
            <w:r w:rsidRPr="001749CC" w:rsidR="00D81F00">
              <w:rPr>
                <w:sz w:val="22"/>
                <w:szCs w:val="22"/>
              </w:rPr>
              <w:t xml:space="preserve"> to</w:t>
            </w:r>
            <w:r w:rsidRPr="001749CC" w:rsidR="0060111F">
              <w:rPr>
                <w:sz w:val="22"/>
                <w:szCs w:val="22"/>
              </w:rPr>
              <w:t xml:space="preserve"> </w:t>
            </w:r>
            <w:r w:rsidRPr="001749CC" w:rsidR="003A6C1C">
              <w:rPr>
                <w:sz w:val="22"/>
                <w:szCs w:val="22"/>
              </w:rPr>
              <w:t xml:space="preserve">expand broadband </w:t>
            </w:r>
            <w:r w:rsidRPr="001749CC">
              <w:rPr>
                <w:sz w:val="22"/>
                <w:szCs w:val="22"/>
              </w:rPr>
              <w:t xml:space="preserve">to </w:t>
            </w:r>
            <w:r w:rsidR="009F45BE">
              <w:rPr>
                <w:sz w:val="22"/>
                <w:szCs w:val="22"/>
              </w:rPr>
              <w:t>60,850</w:t>
            </w:r>
            <w:r w:rsidRPr="001749CC">
              <w:rPr>
                <w:sz w:val="22"/>
                <w:szCs w:val="22"/>
              </w:rPr>
              <w:t xml:space="preserve"> unserved rural homes and businesses </w:t>
            </w:r>
            <w:r w:rsidRPr="001749CC" w:rsidR="00D731E7">
              <w:rPr>
                <w:sz w:val="22"/>
                <w:szCs w:val="22"/>
              </w:rPr>
              <w:t xml:space="preserve">in </w:t>
            </w:r>
            <w:r w:rsidR="009F45BE">
              <w:rPr>
                <w:sz w:val="22"/>
                <w:szCs w:val="22"/>
              </w:rPr>
              <w:t>2</w:t>
            </w:r>
            <w:r w:rsidRPr="001749CC" w:rsidR="00F635EA">
              <w:rPr>
                <w:sz w:val="22"/>
                <w:szCs w:val="22"/>
              </w:rPr>
              <w:t>2</w:t>
            </w:r>
            <w:r w:rsidRPr="001749CC" w:rsidR="00D731E7">
              <w:rPr>
                <w:sz w:val="22"/>
                <w:szCs w:val="22"/>
              </w:rPr>
              <w:t xml:space="preserve"> states</w:t>
            </w:r>
            <w:r w:rsidR="009F45BE">
              <w:rPr>
                <w:sz w:val="22"/>
                <w:szCs w:val="22"/>
              </w:rPr>
              <w:t xml:space="preserve">, </w:t>
            </w:r>
            <w:r w:rsidRPr="001749CC">
              <w:rPr>
                <w:sz w:val="22"/>
                <w:szCs w:val="22"/>
              </w:rPr>
              <w:t xml:space="preserve">representing the </w:t>
            </w:r>
            <w:r w:rsidR="009F45BE">
              <w:rPr>
                <w:sz w:val="22"/>
                <w:szCs w:val="22"/>
              </w:rPr>
              <w:t xml:space="preserve">second </w:t>
            </w:r>
            <w:r w:rsidRPr="001749CC">
              <w:rPr>
                <w:sz w:val="22"/>
                <w:szCs w:val="22"/>
              </w:rPr>
              <w:t>wave of support from last year’s successful Connect America Fund Phase II auction.</w:t>
            </w:r>
            <w:r w:rsidRPr="001749CC" w:rsidR="00066602">
              <w:rPr>
                <w:sz w:val="22"/>
                <w:szCs w:val="22"/>
              </w:rPr>
              <w:t xml:space="preserve">  </w:t>
            </w:r>
            <w:r w:rsidRPr="001749CC" w:rsidR="00061C5F">
              <w:rPr>
                <w:sz w:val="22"/>
                <w:szCs w:val="22"/>
              </w:rPr>
              <w:t>Providers will begin receiving funding this month.</w:t>
            </w:r>
          </w:p>
          <w:p w:rsidR="007A26A1" w:rsidRPr="001749CC" w:rsidP="003E54AF" w14:paraId="30DBF5B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436D" w:rsidP="003E54AF" w14:paraId="023CC848" w14:textId="67F4973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>In total, th</w:t>
            </w:r>
            <w:r w:rsidRPr="001749CC" w:rsidR="00A86FA9">
              <w:rPr>
                <w:sz w:val="22"/>
                <w:szCs w:val="22"/>
              </w:rPr>
              <w:t xml:space="preserve">e </w:t>
            </w:r>
            <w:r w:rsidRPr="001749CC">
              <w:rPr>
                <w:sz w:val="22"/>
                <w:szCs w:val="22"/>
              </w:rPr>
              <w:t xml:space="preserve">auction </w:t>
            </w:r>
            <w:r w:rsidR="00670C70">
              <w:rPr>
                <w:sz w:val="22"/>
                <w:szCs w:val="22"/>
              </w:rPr>
              <w:t xml:space="preserve">last fall </w:t>
            </w:r>
            <w:r w:rsidR="00FB6285">
              <w:rPr>
                <w:sz w:val="22"/>
                <w:szCs w:val="22"/>
              </w:rPr>
              <w:t xml:space="preserve">allocated </w:t>
            </w:r>
            <w:r w:rsidRPr="001749CC">
              <w:rPr>
                <w:sz w:val="22"/>
                <w:szCs w:val="22"/>
              </w:rPr>
              <w:t xml:space="preserve">$1.488 billion in support to expand </w:t>
            </w:r>
            <w:r w:rsidRPr="001749CC" w:rsidR="003A6C1C">
              <w:rPr>
                <w:sz w:val="22"/>
                <w:szCs w:val="22"/>
              </w:rPr>
              <w:t xml:space="preserve">broadband to </w:t>
            </w:r>
            <w:r w:rsidRPr="001749CC" w:rsidR="00CD2084">
              <w:rPr>
                <w:sz w:val="22"/>
                <w:szCs w:val="22"/>
              </w:rPr>
              <w:t xml:space="preserve">more than </w:t>
            </w:r>
            <w:r w:rsidRPr="001749CC">
              <w:rPr>
                <w:sz w:val="22"/>
                <w:szCs w:val="22"/>
              </w:rPr>
              <w:t>7</w:t>
            </w:r>
            <w:r w:rsidRPr="001749CC" w:rsidR="00CD2084">
              <w:rPr>
                <w:sz w:val="22"/>
                <w:szCs w:val="22"/>
              </w:rPr>
              <w:t>00,000</w:t>
            </w:r>
            <w:r w:rsidRPr="001749CC" w:rsidR="003E54AF">
              <w:rPr>
                <w:sz w:val="22"/>
                <w:szCs w:val="22"/>
              </w:rPr>
              <w:t xml:space="preserve"> </w:t>
            </w:r>
            <w:r w:rsidRPr="001749CC">
              <w:rPr>
                <w:sz w:val="22"/>
                <w:szCs w:val="22"/>
              </w:rPr>
              <w:t xml:space="preserve">unserved </w:t>
            </w:r>
            <w:r w:rsidRPr="001749CC" w:rsidR="003E54AF">
              <w:rPr>
                <w:sz w:val="22"/>
                <w:szCs w:val="22"/>
              </w:rPr>
              <w:t xml:space="preserve">rural homes and small businesses </w:t>
            </w:r>
            <w:r w:rsidRPr="001749CC" w:rsidR="00D731E7">
              <w:rPr>
                <w:sz w:val="22"/>
                <w:szCs w:val="22"/>
              </w:rPr>
              <w:t>o</w:t>
            </w:r>
            <w:r w:rsidRPr="001749CC" w:rsidR="003E54AF">
              <w:rPr>
                <w:sz w:val="22"/>
                <w:szCs w:val="22"/>
              </w:rPr>
              <w:t>ver the next 10 years</w:t>
            </w:r>
            <w:r w:rsidRPr="001749CC" w:rsidR="00D731E7">
              <w:rPr>
                <w:sz w:val="22"/>
                <w:szCs w:val="22"/>
              </w:rPr>
              <w:t xml:space="preserve">. </w:t>
            </w:r>
            <w:bookmarkEnd w:id="2"/>
            <w:r w:rsidRPr="001749CC" w:rsidR="00D731E7">
              <w:rPr>
                <w:sz w:val="22"/>
                <w:szCs w:val="22"/>
              </w:rPr>
              <w:t xml:space="preserve"> </w:t>
            </w:r>
            <w:r w:rsidR="009C671F">
              <w:rPr>
                <w:sz w:val="22"/>
                <w:szCs w:val="22"/>
              </w:rPr>
              <w:t>The FCC authorized the first wave of funding in Ma</w:t>
            </w:r>
            <w:r w:rsidR="00670C70">
              <w:rPr>
                <w:sz w:val="22"/>
                <w:szCs w:val="22"/>
              </w:rPr>
              <w:t>y,</w:t>
            </w:r>
            <w:r w:rsidR="009C671F">
              <w:rPr>
                <w:sz w:val="22"/>
                <w:szCs w:val="22"/>
              </w:rPr>
              <w:t xml:space="preserve"> providing $111.6 million in funding over the next decade to expand service to 37,148 unserved homes and businesses in 12 states.</w:t>
            </w:r>
          </w:p>
          <w:p w:rsidR="0085436D" w:rsidP="003E54AF" w14:paraId="467A621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731E7" w:rsidRPr="001749CC" w:rsidP="003E54AF" w14:paraId="016E995F" w14:textId="53C7E16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date, the first two rounds of authorizations </w:t>
            </w:r>
            <w:r w:rsidR="00800197">
              <w:rPr>
                <w:sz w:val="22"/>
                <w:szCs w:val="22"/>
              </w:rPr>
              <w:t xml:space="preserve">are providing $278.4 million over the next decade to expand service to </w:t>
            </w:r>
            <w:r>
              <w:rPr>
                <w:sz w:val="22"/>
                <w:szCs w:val="22"/>
              </w:rPr>
              <w:t xml:space="preserve">97,998 new locations.  </w:t>
            </w:r>
            <w:r w:rsidRPr="001749CC">
              <w:rPr>
                <w:sz w:val="22"/>
                <w:szCs w:val="22"/>
              </w:rPr>
              <w:t>Over the coming months, the FCC will be authorizing additional funding as it approves the final applications of the winning bidders from the auction.</w:t>
            </w:r>
          </w:p>
          <w:p w:rsidR="00D731E7" w:rsidRPr="001749CC" w:rsidP="003E54AF" w14:paraId="0AFE78D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C2D44" w:rsidP="003E54AF" w14:paraId="5F6F0488" w14:textId="575D02F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489F">
              <w:rPr>
                <w:sz w:val="22"/>
                <w:szCs w:val="22"/>
              </w:rPr>
              <w:t>“</w:t>
            </w:r>
            <w:r w:rsidRPr="008A489F">
              <w:rPr>
                <w:sz w:val="22"/>
                <w:szCs w:val="22"/>
              </w:rPr>
              <w:t>I’m pleased to announce th</w:t>
            </w:r>
            <w:r w:rsidRPr="008A489F" w:rsidR="008F2891">
              <w:rPr>
                <w:sz w:val="22"/>
                <w:szCs w:val="22"/>
              </w:rPr>
              <w:t xml:space="preserve">at the </w:t>
            </w:r>
            <w:r w:rsidRPr="008A489F" w:rsidR="00B20F50">
              <w:rPr>
                <w:sz w:val="22"/>
                <w:szCs w:val="22"/>
              </w:rPr>
              <w:t>second rou</w:t>
            </w:r>
            <w:r w:rsidRPr="008A489F" w:rsidR="008F2891">
              <w:rPr>
                <w:sz w:val="22"/>
                <w:szCs w:val="22"/>
              </w:rPr>
              <w:t xml:space="preserve">nd of </w:t>
            </w:r>
            <w:r w:rsidRPr="008A489F" w:rsidR="0043303B">
              <w:rPr>
                <w:sz w:val="22"/>
                <w:szCs w:val="22"/>
              </w:rPr>
              <w:t xml:space="preserve">funding starts now for </w:t>
            </w:r>
            <w:r w:rsidRPr="008A489F">
              <w:rPr>
                <w:sz w:val="22"/>
                <w:szCs w:val="22"/>
              </w:rPr>
              <w:t xml:space="preserve">buildout of high-speed Internet service </w:t>
            </w:r>
            <w:r w:rsidRPr="008A489F" w:rsidR="006365A2">
              <w:rPr>
                <w:sz w:val="22"/>
                <w:szCs w:val="22"/>
              </w:rPr>
              <w:t xml:space="preserve">to </w:t>
            </w:r>
            <w:r w:rsidRPr="008A489F" w:rsidR="008F2891">
              <w:rPr>
                <w:sz w:val="22"/>
                <w:szCs w:val="22"/>
              </w:rPr>
              <w:t>60,850</w:t>
            </w:r>
            <w:r w:rsidRPr="008A489F" w:rsidR="006365A2">
              <w:rPr>
                <w:sz w:val="22"/>
                <w:szCs w:val="22"/>
              </w:rPr>
              <w:t xml:space="preserve"> </w:t>
            </w:r>
            <w:r w:rsidRPr="008A489F">
              <w:rPr>
                <w:sz w:val="22"/>
                <w:szCs w:val="22"/>
              </w:rPr>
              <w:t xml:space="preserve">rural </w:t>
            </w:r>
            <w:r w:rsidRPr="008A489F" w:rsidR="006365A2">
              <w:rPr>
                <w:sz w:val="22"/>
                <w:szCs w:val="22"/>
              </w:rPr>
              <w:t>homes and businesses,</w:t>
            </w:r>
            <w:r w:rsidRPr="008A489F" w:rsidR="0009225A">
              <w:rPr>
                <w:sz w:val="22"/>
                <w:szCs w:val="22"/>
              </w:rPr>
              <w:t xml:space="preserve"> which will </w:t>
            </w:r>
            <w:r w:rsidRPr="008A489F" w:rsidR="008164E5">
              <w:rPr>
                <w:sz w:val="22"/>
                <w:szCs w:val="22"/>
              </w:rPr>
              <w:t xml:space="preserve">bring them to the right side of the digital divide and </w:t>
            </w:r>
            <w:r w:rsidRPr="008A489F" w:rsidR="0009225A">
              <w:rPr>
                <w:sz w:val="22"/>
                <w:szCs w:val="22"/>
              </w:rPr>
              <w:t xml:space="preserve">give </w:t>
            </w:r>
            <w:r w:rsidRPr="008A489F" w:rsidR="006365A2">
              <w:rPr>
                <w:sz w:val="22"/>
                <w:szCs w:val="22"/>
              </w:rPr>
              <w:t xml:space="preserve">them </w:t>
            </w:r>
            <w:r w:rsidRPr="008A489F">
              <w:rPr>
                <w:sz w:val="22"/>
                <w:szCs w:val="22"/>
              </w:rPr>
              <w:t>access to</w:t>
            </w:r>
            <w:r w:rsidRPr="008A489F" w:rsidR="006365A2">
              <w:rPr>
                <w:sz w:val="22"/>
                <w:szCs w:val="22"/>
              </w:rPr>
              <w:t xml:space="preserve"> the</w:t>
            </w:r>
            <w:r w:rsidRPr="008A489F">
              <w:rPr>
                <w:sz w:val="22"/>
                <w:szCs w:val="22"/>
              </w:rPr>
              <w:t xml:space="preserve"> 21</w:t>
            </w:r>
            <w:r w:rsidRPr="008A489F">
              <w:rPr>
                <w:sz w:val="22"/>
                <w:szCs w:val="22"/>
                <w:vertAlign w:val="superscript"/>
              </w:rPr>
              <w:t>st</w:t>
            </w:r>
            <w:r w:rsidRPr="008A489F" w:rsidR="008164E5">
              <w:rPr>
                <w:sz w:val="22"/>
                <w:szCs w:val="22"/>
              </w:rPr>
              <w:t>-</w:t>
            </w:r>
            <w:r w:rsidRPr="008A489F" w:rsidR="00A86FA9">
              <w:rPr>
                <w:sz w:val="22"/>
                <w:szCs w:val="22"/>
              </w:rPr>
              <w:t>c</w:t>
            </w:r>
            <w:r w:rsidRPr="008A489F">
              <w:rPr>
                <w:sz w:val="22"/>
                <w:szCs w:val="22"/>
              </w:rPr>
              <w:t xml:space="preserve">entury opportunities that broadband </w:t>
            </w:r>
            <w:r w:rsidR="007652E0">
              <w:rPr>
                <w:sz w:val="22"/>
                <w:szCs w:val="22"/>
              </w:rPr>
              <w:t>offers</w:t>
            </w:r>
            <w:r w:rsidRPr="008A489F" w:rsidR="00B47877">
              <w:rPr>
                <w:sz w:val="22"/>
                <w:szCs w:val="22"/>
              </w:rPr>
              <w:t>,</w:t>
            </w:r>
            <w:r w:rsidRPr="008A489F">
              <w:rPr>
                <w:sz w:val="22"/>
                <w:szCs w:val="22"/>
              </w:rPr>
              <w:t xml:space="preserve">” said FCC Chairman Ajit Pai.  </w:t>
            </w:r>
            <w:r w:rsidRPr="008A489F" w:rsidR="008F2891">
              <w:rPr>
                <w:sz w:val="22"/>
                <w:szCs w:val="22"/>
              </w:rPr>
              <w:t>“</w:t>
            </w:r>
            <w:r w:rsidR="00670C70">
              <w:rPr>
                <w:sz w:val="22"/>
                <w:szCs w:val="22"/>
              </w:rPr>
              <w:t>P</w:t>
            </w:r>
            <w:r w:rsidRPr="008A489F" w:rsidR="00E909CC">
              <w:rPr>
                <w:sz w:val="22"/>
                <w:szCs w:val="22"/>
              </w:rPr>
              <w:t xml:space="preserve">roviders will be deploying gigabit-speed </w:t>
            </w:r>
            <w:r w:rsidRPr="008A489F" w:rsidR="0084753A">
              <w:rPr>
                <w:sz w:val="22"/>
                <w:szCs w:val="22"/>
              </w:rPr>
              <w:t xml:space="preserve">connections </w:t>
            </w:r>
            <w:r w:rsidRPr="008A489F" w:rsidR="00E909CC">
              <w:rPr>
                <w:sz w:val="22"/>
                <w:szCs w:val="22"/>
              </w:rPr>
              <w:t>to the majority of locations for which funding is being authorized today</w:t>
            </w:r>
            <w:r w:rsidRPr="008A489F" w:rsidR="008F2891">
              <w:rPr>
                <w:sz w:val="22"/>
                <w:szCs w:val="22"/>
              </w:rPr>
              <w:t xml:space="preserve">, while </w:t>
            </w:r>
            <w:r w:rsidR="00E90BD2">
              <w:rPr>
                <w:sz w:val="22"/>
                <w:szCs w:val="22"/>
              </w:rPr>
              <w:t>nearly</w:t>
            </w:r>
            <w:r w:rsidRPr="008A489F" w:rsidR="008F2891">
              <w:rPr>
                <w:sz w:val="22"/>
                <w:szCs w:val="22"/>
              </w:rPr>
              <w:t xml:space="preserve"> </w:t>
            </w:r>
            <w:r w:rsidR="00E90BD2">
              <w:rPr>
                <w:sz w:val="22"/>
                <w:szCs w:val="22"/>
              </w:rPr>
              <w:t>8</w:t>
            </w:r>
            <w:r w:rsidRPr="008A489F" w:rsidR="008F2891">
              <w:rPr>
                <w:sz w:val="22"/>
                <w:szCs w:val="22"/>
              </w:rPr>
              <w:t xml:space="preserve">,000 homes and small businesses on Tribal lands will be getting </w:t>
            </w:r>
            <w:r w:rsidR="00B429AE">
              <w:rPr>
                <w:sz w:val="22"/>
                <w:szCs w:val="22"/>
              </w:rPr>
              <w:t xml:space="preserve">fixed </w:t>
            </w:r>
            <w:r w:rsidRPr="008A489F" w:rsidR="008F2891">
              <w:rPr>
                <w:sz w:val="22"/>
                <w:szCs w:val="22"/>
              </w:rPr>
              <w:t>broadband service for the first time.”</w:t>
            </w:r>
          </w:p>
          <w:p w:rsidR="001749CC" w:rsidP="003E54AF" w14:paraId="410DC9B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909CC" w:rsidP="003511C7" w14:paraId="59751897" w14:textId="09D1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funding applications approved by the Commission today </w:t>
            </w:r>
            <w:r w:rsidR="008F2891">
              <w:rPr>
                <w:sz w:val="22"/>
                <w:szCs w:val="22"/>
              </w:rPr>
              <w:t>include the following:</w:t>
            </w:r>
          </w:p>
          <w:p w:rsidR="00E909CC" w:rsidP="003511C7" w14:paraId="55106E57" w14:textId="77777777">
            <w:pPr>
              <w:rPr>
                <w:sz w:val="22"/>
                <w:szCs w:val="22"/>
              </w:rPr>
            </w:pPr>
          </w:p>
          <w:p w:rsidR="00E909CC" w:rsidP="00E909CC" w14:paraId="4A9E21B4" w14:textId="7F5A0D8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 Virginia Services, </w:t>
            </w:r>
            <w:r>
              <w:rPr>
                <w:sz w:val="22"/>
                <w:szCs w:val="22"/>
              </w:rPr>
              <w:t>a</w:t>
            </w:r>
            <w:r w:rsidR="00670C70">
              <w:rPr>
                <w:sz w:val="22"/>
                <w:szCs w:val="22"/>
              </w:rPr>
              <w:t xml:space="preserve">n electric coop, </w:t>
            </w:r>
            <w:r>
              <w:rPr>
                <w:sz w:val="22"/>
                <w:szCs w:val="22"/>
              </w:rPr>
              <w:t>is receiving $2</w:t>
            </w:r>
            <w:r w:rsidR="00FA75C8">
              <w:rPr>
                <w:sz w:val="22"/>
                <w:szCs w:val="22"/>
              </w:rPr>
              <w:t xml:space="preserve">8.6 </w:t>
            </w:r>
            <w:r>
              <w:rPr>
                <w:sz w:val="22"/>
                <w:szCs w:val="22"/>
              </w:rPr>
              <w:t xml:space="preserve">million to deploy gigabit </w:t>
            </w:r>
            <w:r w:rsidR="0084753A">
              <w:rPr>
                <w:sz w:val="22"/>
                <w:szCs w:val="22"/>
              </w:rPr>
              <w:t>connections</w:t>
            </w:r>
            <w:r>
              <w:rPr>
                <w:sz w:val="22"/>
                <w:szCs w:val="22"/>
              </w:rPr>
              <w:t xml:space="preserve"> to </w:t>
            </w:r>
            <w:r w:rsidR="000517E9">
              <w:rPr>
                <w:sz w:val="22"/>
                <w:szCs w:val="22"/>
              </w:rPr>
              <w:t xml:space="preserve">nearly 11,000 </w:t>
            </w:r>
            <w:r>
              <w:rPr>
                <w:sz w:val="22"/>
                <w:szCs w:val="22"/>
              </w:rPr>
              <w:t xml:space="preserve">locations in rural </w:t>
            </w:r>
            <w:r w:rsidR="00FA75C8">
              <w:rPr>
                <w:sz w:val="22"/>
                <w:szCs w:val="22"/>
              </w:rPr>
              <w:t>Virginia</w:t>
            </w:r>
          </w:p>
          <w:p w:rsidR="00E909CC" w:rsidP="006F4547" w14:paraId="2A9DB5A6" w14:textId="77777777">
            <w:pPr>
              <w:pStyle w:val="ListParagraph"/>
              <w:rPr>
                <w:sz w:val="22"/>
                <w:szCs w:val="22"/>
              </w:rPr>
            </w:pPr>
          </w:p>
          <w:p w:rsidR="008F2891" w:rsidP="00567DD6" w14:paraId="633B2D20" w14:textId="2FDAFE4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bookmarkStart w:id="3" w:name="_Hlk10560988"/>
            <w:bookmarkStart w:id="4" w:name="_Hlk10562252"/>
            <w:r w:rsidRPr="008F2891">
              <w:rPr>
                <w:sz w:val="22"/>
                <w:szCs w:val="22"/>
              </w:rPr>
              <w:t xml:space="preserve">NTUA Wireless </w:t>
            </w:r>
            <w:r w:rsidR="000517E9">
              <w:rPr>
                <w:sz w:val="22"/>
                <w:szCs w:val="22"/>
              </w:rPr>
              <w:t xml:space="preserve">is receiving </w:t>
            </w:r>
            <w:r w:rsidR="00AA2EB7">
              <w:rPr>
                <w:sz w:val="22"/>
                <w:szCs w:val="22"/>
              </w:rPr>
              <w:t xml:space="preserve">$28.4 million to serve </w:t>
            </w:r>
            <w:r w:rsidRPr="008F2891">
              <w:rPr>
                <w:sz w:val="22"/>
                <w:szCs w:val="22"/>
              </w:rPr>
              <w:t>over 7,000 homes and small businesses in Tribal areas of Arizona, New Mexico, and Utah</w:t>
            </w:r>
            <w:bookmarkEnd w:id="3"/>
            <w:r w:rsidR="0085436D">
              <w:rPr>
                <w:sz w:val="22"/>
                <w:szCs w:val="22"/>
              </w:rPr>
              <w:t>, while SW DinehNet will serve 869 Tribal locations in New Mexico</w:t>
            </w:r>
          </w:p>
          <w:bookmarkEnd w:id="4"/>
          <w:p w:rsidR="00DF1A38" w:rsidRPr="008F2891" w:rsidP="008F2891" w14:paraId="5C0058AC" w14:textId="77777777">
            <w:pPr>
              <w:pStyle w:val="ListParagraph"/>
              <w:rPr>
                <w:sz w:val="22"/>
                <w:szCs w:val="22"/>
              </w:rPr>
            </w:pPr>
          </w:p>
          <w:p w:rsidR="00E909CC" w:rsidP="006F4547" w14:paraId="1047BD1A" w14:textId="368719E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Co-Mo </w:t>
            </w:r>
            <w:r w:rsidR="00D86A4D">
              <w:rPr>
                <w:sz w:val="22"/>
                <w:szCs w:val="22"/>
              </w:rPr>
              <w:t xml:space="preserve">Comm, an electric coop, is </w:t>
            </w:r>
            <w:r w:rsidR="008A489F">
              <w:rPr>
                <w:sz w:val="22"/>
                <w:szCs w:val="22"/>
              </w:rPr>
              <w:t xml:space="preserve">receiving </w:t>
            </w:r>
            <w:r w:rsidR="00D86A4D">
              <w:rPr>
                <w:sz w:val="22"/>
                <w:szCs w:val="22"/>
              </w:rPr>
              <w:t xml:space="preserve">nearly </w:t>
            </w:r>
            <w:r w:rsidR="008A489F">
              <w:rPr>
                <w:sz w:val="22"/>
                <w:szCs w:val="22"/>
              </w:rPr>
              <w:t>$22 million</w:t>
            </w:r>
            <w:r w:rsidR="00DF1A38">
              <w:rPr>
                <w:sz w:val="22"/>
                <w:szCs w:val="22"/>
              </w:rPr>
              <w:t xml:space="preserve"> to deploy gigabit </w:t>
            </w:r>
            <w:r w:rsidR="0084753A">
              <w:rPr>
                <w:sz w:val="22"/>
                <w:szCs w:val="22"/>
              </w:rPr>
              <w:t>connections</w:t>
            </w:r>
            <w:r w:rsidR="00DF1A38">
              <w:rPr>
                <w:sz w:val="22"/>
                <w:szCs w:val="22"/>
              </w:rPr>
              <w:t xml:space="preserve"> to </w:t>
            </w:r>
            <w:r w:rsidR="00D86A4D">
              <w:rPr>
                <w:sz w:val="22"/>
                <w:szCs w:val="22"/>
              </w:rPr>
              <w:t xml:space="preserve">over 8,350 </w:t>
            </w:r>
            <w:r w:rsidR="008A489F">
              <w:rPr>
                <w:sz w:val="22"/>
                <w:szCs w:val="22"/>
              </w:rPr>
              <w:t>rural l</w:t>
            </w:r>
            <w:r w:rsidR="00DF1A38">
              <w:rPr>
                <w:sz w:val="22"/>
                <w:szCs w:val="22"/>
              </w:rPr>
              <w:t>ocations in</w:t>
            </w:r>
            <w:r w:rsidR="008A489F">
              <w:rPr>
                <w:sz w:val="22"/>
                <w:szCs w:val="22"/>
              </w:rPr>
              <w:t xml:space="preserve"> </w:t>
            </w:r>
            <w:r w:rsidR="00D86A4D">
              <w:rPr>
                <w:sz w:val="22"/>
                <w:szCs w:val="22"/>
              </w:rPr>
              <w:t>Missouri</w:t>
            </w:r>
          </w:p>
          <w:p w:rsidR="00D86A4D" w:rsidRPr="00D86A4D" w:rsidP="00D86A4D" w14:paraId="7E3785B0" w14:textId="77777777">
            <w:pPr>
              <w:pStyle w:val="ListParagraph"/>
              <w:rPr>
                <w:sz w:val="22"/>
                <w:szCs w:val="22"/>
              </w:rPr>
            </w:pPr>
          </w:p>
          <w:p w:rsidR="00D86A4D" w:rsidRPr="006F4547" w:rsidP="006F4547" w14:paraId="73CF9943" w14:textId="56F546E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Commnet of Nevada </w:t>
            </w:r>
            <w:r w:rsidR="004942A3">
              <w:rPr>
                <w:sz w:val="22"/>
                <w:szCs w:val="22"/>
              </w:rPr>
              <w:t xml:space="preserve">is receiving $23.6 million to provide service to over 12,800 homes and businesses in 11 counties in </w:t>
            </w:r>
            <w:r w:rsidR="00B16D9B">
              <w:rPr>
                <w:sz w:val="22"/>
                <w:szCs w:val="22"/>
              </w:rPr>
              <w:t xml:space="preserve">rural </w:t>
            </w:r>
            <w:r w:rsidR="004942A3">
              <w:rPr>
                <w:sz w:val="22"/>
                <w:szCs w:val="22"/>
              </w:rPr>
              <w:t>Nevada</w:t>
            </w:r>
          </w:p>
          <w:p w:rsidR="00E909CC" w:rsidP="003511C7" w14:paraId="55D733EE" w14:textId="7B9008E5">
            <w:pPr>
              <w:rPr>
                <w:sz w:val="22"/>
                <w:szCs w:val="22"/>
              </w:rPr>
            </w:pPr>
          </w:p>
          <w:p w:rsidR="00BF054D" w:rsidP="003E54AF" w14:paraId="4353A6F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120B0" w:rsidP="003E54AF" w14:paraId="7B394B09" w14:textId="3AA21C8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Below </w:t>
            </w:r>
            <w:r w:rsidRPr="001749CC">
              <w:rPr>
                <w:sz w:val="22"/>
                <w:szCs w:val="22"/>
              </w:rPr>
              <w:t xml:space="preserve">is a </w:t>
            </w:r>
            <w:r>
              <w:rPr>
                <w:sz w:val="22"/>
                <w:szCs w:val="22"/>
              </w:rPr>
              <w:t xml:space="preserve">complete </w:t>
            </w:r>
            <w:r w:rsidRPr="001749CC">
              <w:rPr>
                <w:sz w:val="22"/>
                <w:szCs w:val="22"/>
              </w:rPr>
              <w:t xml:space="preserve">list by state of the </w:t>
            </w:r>
            <w:r w:rsidRPr="001749CC" w:rsidR="00D324B5">
              <w:rPr>
                <w:sz w:val="22"/>
                <w:szCs w:val="22"/>
              </w:rPr>
              <w:t xml:space="preserve">companies receiving support, the </w:t>
            </w:r>
            <w:r w:rsidRPr="001749CC">
              <w:rPr>
                <w:sz w:val="22"/>
                <w:szCs w:val="22"/>
              </w:rPr>
              <w:t>number of homes and businesses served (locations)</w:t>
            </w:r>
            <w:r w:rsidRPr="001749CC" w:rsidR="00D324B5">
              <w:rPr>
                <w:sz w:val="22"/>
                <w:szCs w:val="22"/>
              </w:rPr>
              <w:t xml:space="preserve">, the amount of support over 10 years, </w:t>
            </w:r>
            <w:r w:rsidRPr="001749CC" w:rsidR="003F60AE">
              <w:rPr>
                <w:sz w:val="22"/>
                <w:szCs w:val="22"/>
              </w:rPr>
              <w:t>and the minimum download/upload speeds to be provided:</w:t>
            </w:r>
            <w:r w:rsidRPr="001749CC">
              <w:rPr>
                <w:sz w:val="22"/>
                <w:szCs w:val="22"/>
              </w:rPr>
              <w:t xml:space="preserve"> </w:t>
            </w:r>
          </w:p>
          <w:p w:rsidR="007E4ACE" w:rsidP="003E54AF" w14:paraId="0E6C218F" w14:textId="7DF3148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487"/>
              <w:gridCol w:w="2062"/>
              <w:gridCol w:w="1402"/>
              <w:gridCol w:w="1402"/>
              <w:gridCol w:w="1426"/>
            </w:tblGrid>
            <w:tr w14:paraId="18EDF1D1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697D96DD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12119705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7DB6286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Minimum Speed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65F8200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Locations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7652E0" w:rsidP="0085436D" w14:paraId="21EC2D57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Support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A2EB7" w:rsidP="0085436D" w14:paraId="590B133D" w14:textId="1181216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 Years</w:t>
                  </w:r>
                </w:p>
              </w:tc>
            </w:tr>
            <w:tr w14:paraId="14FABFA9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7B628C8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Arizona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0EB7152E" w14:textId="57E0B08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NTUA Wireless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20B4474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3F1F1FCC" w14:textId="78E2AF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4,959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2813A70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$21,262,510</w:t>
                  </w:r>
                </w:p>
              </w:tc>
            </w:tr>
            <w:tr w14:paraId="0D258AE6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7297784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Arkansas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37ED48DB" w14:textId="7FC5F7F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Next, Powered by NAEC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2510BB1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0DE76BA2" w14:textId="2B658C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6,582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0218D16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$22,600,026</w:t>
                  </w:r>
                </w:p>
              </w:tc>
            </w:tr>
            <w:tr w14:paraId="4CF19AD3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744E5B6B" w14:textId="71B90E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Delaware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7D15FBBD" w14:textId="68C800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Verizon Delaware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F677786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F611EE1" w14:textId="637BB1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5BEA775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$148,090</w:t>
                  </w:r>
                </w:p>
              </w:tc>
            </w:tr>
            <w:tr w14:paraId="5F2FF1FA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6BCD7667" w14:textId="4C0C4A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Illinois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444440E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Illinois Electric Cooperative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0979F47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26A5702C" w14:textId="1B4773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804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33CD1F2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$2,276,419</w:t>
                  </w:r>
                </w:p>
              </w:tc>
            </w:tr>
            <w:tr w14:paraId="0D857F3A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4D62FE7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Iowa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69C9756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Heartland Telecommunications Company of Iowa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0AA87AC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923D0B6" w14:textId="1F37B1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4E0AC07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$627,920</w:t>
                  </w:r>
                </w:p>
              </w:tc>
            </w:tr>
            <w:tr w14:paraId="4615D2A9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556E952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Kansas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0E5DFFFF" w14:textId="5BC33D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IdeaTek Telcom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7329DE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BE0463C" w14:textId="369E8A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2,490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65F36926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$6,186,882</w:t>
                  </w:r>
                </w:p>
              </w:tc>
            </w:tr>
            <w:tr w14:paraId="0889F244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4E3F80E6" w14:textId="7B2F4E4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Maryland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7540D9C8" w14:textId="6C2548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Verizon Maryland 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3EFD2E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3279DA14" w14:textId="60DBE07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1,194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07B0110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$3,058,921</w:t>
                  </w:r>
                </w:p>
              </w:tc>
            </w:tr>
            <w:tr w14:paraId="35B19C55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2F1FE17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Massachusetts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75184B25" w14:textId="756DC6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Verizon New </w:t>
                  </w:r>
                  <w:r w:rsidR="0085436D">
                    <w:rPr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ngland 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007B2E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0266B6C3" w14:textId="12A850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397E19D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$948,305</w:t>
                  </w:r>
                </w:p>
              </w:tc>
            </w:tr>
            <w:tr w14:paraId="22E3748F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79C729D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Michigan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689D0973" w14:textId="50F480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Great Lakes Energy Connections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6B8073C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39E7059E" w14:textId="5E2A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6ECF545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$1,043,543</w:t>
                  </w:r>
                </w:p>
              </w:tc>
            </w:tr>
            <w:tr w14:paraId="224AA33A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0AFB5B9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67F611F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Paul Bunyan Rural Telephone Cooperative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661CF81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00667AC1" w14:textId="1CFDDBD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767FDCE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$1,313,543</w:t>
                  </w:r>
                </w:p>
              </w:tc>
            </w:tr>
            <w:tr w14:paraId="68485720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24649BF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42C15AC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Garden Valley Telephone Company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0EC3852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DD7868C" w14:textId="51E841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5051AC3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$880,346</w:t>
                  </w:r>
                </w:p>
              </w:tc>
            </w:tr>
            <w:tr w14:paraId="07761AA6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3A4359B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44D59B5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West Central Telephone Association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1B46A76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1650A43" w14:textId="5623609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532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6C47543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$611,934</w:t>
                  </w:r>
                </w:p>
              </w:tc>
            </w:tr>
            <w:tr w14:paraId="680B8244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58E8F7F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7C7EB31F" w14:textId="5E3FA7C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Interstate Telecommunications Cooperative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23AAA306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643CF345" w14:textId="263C96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114D92F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$552,330</w:t>
                  </w:r>
                </w:p>
              </w:tc>
            </w:tr>
            <w:tr w14:paraId="2269548D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1C914C9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Missouri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0D32EC55" w14:textId="4B1557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Co-Mo Comm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5A13F4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606B003" w14:textId="7D6D82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8,356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099B35B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$21,968,964</w:t>
                  </w:r>
                </w:p>
              </w:tc>
            </w:tr>
            <w:tr w14:paraId="68DF305A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3DDD643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Missouri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715B48C8" w14:textId="0CBDAB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Callabyte Technology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6040B9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43D0E65" w14:textId="6D3A1AA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1,485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655E2C8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$2,174,192</w:t>
                  </w:r>
                </w:p>
              </w:tc>
            </w:tr>
            <w:tr w14:paraId="72C88F2F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554EC97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Nevada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4A936266" w14:textId="635A74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Commnet of Nevada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332B52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B5D5C30" w14:textId="691D7E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12,844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67A652E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$23,669,837</w:t>
                  </w:r>
                </w:p>
              </w:tc>
            </w:tr>
            <w:tr w14:paraId="07344388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132A01A7" w14:textId="2B930AA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New Jersey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4D8E15A5" w14:textId="3918C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Verizon New Jersey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EE13AB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0195C41E" w14:textId="6D82A9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69915344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$1,621,782</w:t>
                  </w:r>
                </w:p>
              </w:tc>
            </w:tr>
            <w:tr w14:paraId="788E90FA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7B0F5F9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New Mexico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17D323FC" w14:textId="073CA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NTUA Wireless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A18456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302B4581" w14:textId="48B3A4B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1,476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07162B7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$4,612,929</w:t>
                  </w:r>
                </w:p>
              </w:tc>
            </w:tr>
            <w:tr w14:paraId="5684694D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105CC6B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New Mexico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52408371" w14:textId="3C3DFA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 DinehNe</w:t>
                  </w:r>
                  <w:r w:rsidR="0085436D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0FFF76E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680F7CC" w14:textId="2EC3D9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869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2CAF275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$2,038,738</w:t>
                  </w:r>
                </w:p>
              </w:tc>
            </w:tr>
            <w:tr w14:paraId="6D21BD1A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30C89A1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1ACD675D" w14:textId="65AC99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Oklahoma Western Telephone Company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50314E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246C680" w14:textId="6E902C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573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203A06C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$2,303,928</w:t>
                  </w:r>
                </w:p>
              </w:tc>
            </w:tr>
            <w:tr w14:paraId="360A58C0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426087F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Oregon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0C4D73A4" w14:textId="682383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Douglas Service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25A0AA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2358A694" w14:textId="2C0D42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533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1AFB4EC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$3,475,834</w:t>
                  </w:r>
                </w:p>
              </w:tc>
            </w:tr>
            <w:tr w14:paraId="11E96FFE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45FB8E86" w14:textId="13B2A3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Pennsylvania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5E977D2D" w14:textId="3D3F53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Verizon Pennsylvania 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4AA00A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38E84104" w14:textId="571508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699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4113066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$1,672,629</w:t>
                  </w:r>
                </w:p>
              </w:tc>
            </w:tr>
            <w:tr w14:paraId="06F27EB6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437A1D31" w14:textId="5CF96E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Pennsylvania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3EBECA4D" w14:textId="0532F1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Verizon </w:t>
                  </w:r>
                  <w:r w:rsidR="0085436D">
                    <w:rPr>
                      <w:sz w:val="22"/>
                      <w:szCs w:val="22"/>
                    </w:rPr>
                    <w:t>N</w:t>
                  </w:r>
                  <w:r>
                    <w:rPr>
                      <w:sz w:val="22"/>
                      <w:szCs w:val="22"/>
                    </w:rPr>
                    <w:t>orth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3863BC39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65389EC9" w14:textId="73FBB2E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48307B2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$14,654</w:t>
                  </w:r>
                </w:p>
              </w:tc>
            </w:tr>
            <w:tr w14:paraId="32532E76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1FF3CE48" w14:textId="1A0B91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Rhode Island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673D628A" w14:textId="0E5957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Verizon New England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38FA45C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454214F" w14:textId="501379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5A8EC61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$475,303</w:t>
                  </w:r>
                </w:p>
              </w:tc>
            </w:tr>
            <w:tr w14:paraId="555C4EA8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3C2A3C3C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Tennessee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3B559BB2" w14:textId="148F103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Meriwether Lewis Connect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E42C39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2568672" w14:textId="161BAC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0C70904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$1,183,627</w:t>
                  </w:r>
                </w:p>
              </w:tc>
            </w:tr>
            <w:tr w14:paraId="4C2BFAB1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514272D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Tennessee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7D3BE2CA" w14:textId="6A79D5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HolstonConnect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D784CED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0B2C0F85" w14:textId="3EB1C0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517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345C18B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$535,417</w:t>
                  </w:r>
                </w:p>
              </w:tc>
            </w:tr>
            <w:tr w14:paraId="3797A70F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4E3D419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Utah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1F09861C" w14:textId="5EF907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NTUA Wireles</w:t>
                  </w:r>
                  <w:r w:rsidR="0085436D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B6AB49E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79FE012" w14:textId="4422EF9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606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2B64081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$2,566,538</w:t>
                  </w:r>
                </w:p>
              </w:tc>
            </w:tr>
            <w:tr w14:paraId="753C6DE8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4FF0CD94" w14:textId="0B4D9D3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640B8C84" w14:textId="2983C00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Central Virginia Services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2A1A976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92FBA30" w14:textId="3B9607E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10,827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1706A6D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$28,602,957</w:t>
                  </w:r>
                </w:p>
              </w:tc>
            </w:tr>
            <w:tr w14:paraId="58FB4AC1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2A5166A0" w14:textId="05B9DB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0FDAE005" w14:textId="7BE3F31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BARConnect</w:t>
                  </w:r>
                  <w:r w:rsidR="0085436D"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AD0D5C3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8A591A7" w14:textId="461802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1,734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22D1782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$4,974,237</w:t>
                  </w:r>
                </w:p>
              </w:tc>
            </w:tr>
            <w:tr w14:paraId="625863FC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3B6FBF1B" w14:textId="222721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4903455A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EMPOWER Broadband, Inc.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D885FA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3CAF206" w14:textId="522B1E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838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6BB38DEB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$1,868,320</w:t>
                  </w:r>
                </w:p>
              </w:tc>
            </w:tr>
            <w:tr w14:paraId="4BAD3FF7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74009EDF" w14:textId="5B2F92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56DBD988" w14:textId="6CECE3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Verizon Virgini</w:t>
                  </w:r>
                  <w:r w:rsidR="005E721C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B350E72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4D7815A9" w14:textId="0E23DB7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12E3E3F7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$1,399,211</w:t>
                  </w:r>
                </w:p>
              </w:tc>
            </w:tr>
            <w:tr w14:paraId="75068006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507BBA46" w14:textId="10A7F1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35A5FD93" w14:textId="4087BC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Verizon South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3BFDCAB1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1255BD6C" w14:textId="343955E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7E5098E5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$138,038</w:t>
                  </w:r>
                </w:p>
              </w:tc>
            </w:tr>
            <w:tr w14:paraId="44DFECDB" w14:textId="77777777" w:rsidTr="00AA2EB7">
              <w:tblPrEx>
                <w:tblW w:w="0" w:type="auto"/>
                <w:tblLook w:val="04A0"/>
              </w:tblPrEx>
              <w:trPr>
                <w:trHeight w:val="300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156A69AF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West Virginia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2E6509A9" w14:textId="324AFE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Hardy Telecommunications 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75305CE0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B67FE53" w14:textId="16A1A6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3F94A738" w14:textId="777777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$47,435</w:t>
                  </w:r>
                </w:p>
              </w:tc>
            </w:tr>
            <w:tr w14:paraId="7B8AC567" w14:textId="77777777" w:rsidTr="00AA2EB7">
              <w:tblPrEx>
                <w:tblW w:w="0" w:type="auto"/>
                <w:tblLook w:val="04A0"/>
              </w:tblPrEx>
              <w:trPr>
                <w:trHeight w:val="285"/>
              </w:trPr>
              <w:tc>
                <w:tcPr>
                  <w:tcW w:w="1487" w:type="dxa"/>
                  <w:noWrap/>
                  <w:hideMark/>
                </w:tcPr>
                <w:p w:rsidR="00AA2EB7" w:rsidP="0085436D" w14:paraId="5D8E5B68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062" w:type="dxa"/>
                  <w:noWrap/>
                  <w:hideMark/>
                </w:tcPr>
                <w:p w:rsidR="00AA2EB7" w:rsidP="0085436D" w14:paraId="39559A6B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2411DB75" w14:textId="777777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2" w:type="dxa"/>
                  <w:noWrap/>
                  <w:hideMark/>
                </w:tcPr>
                <w:p w:rsidR="00AA2EB7" w:rsidP="0085436D" w14:paraId="5C1CD026" w14:textId="527036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60,850</w:t>
                  </w:r>
                </w:p>
              </w:tc>
              <w:tc>
                <w:tcPr>
                  <w:tcW w:w="1426" w:type="dxa"/>
                  <w:noWrap/>
                  <w:hideMark/>
                </w:tcPr>
                <w:p w:rsidR="00AA2EB7" w:rsidP="0085436D" w14:paraId="586A27EE" w14:textId="7777777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$166,855,339</w:t>
                  </w:r>
                </w:p>
              </w:tc>
            </w:tr>
          </w:tbl>
          <w:p w:rsidR="007E4ACE" w:rsidRPr="001749CC" w:rsidP="003E54AF" w14:paraId="71667133" w14:textId="7449E6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67865" w:rsidRPr="001749CC" w:rsidP="003E54AF" w14:paraId="60009B6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17958" w:rsidRPr="001749CC" w:rsidP="003E54AF" w14:paraId="6AE2E84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E54AF" w:rsidRPr="001749CC" w:rsidP="003E54AF" w14:paraId="6C19BE83" w14:textId="2759823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>Providers must build out to 40</w:t>
            </w:r>
            <w:r w:rsidR="008164E5">
              <w:rPr>
                <w:sz w:val="22"/>
                <w:szCs w:val="22"/>
              </w:rPr>
              <w:t>%</w:t>
            </w:r>
            <w:r w:rsidRPr="001749CC">
              <w:rPr>
                <w:sz w:val="22"/>
                <w:szCs w:val="22"/>
              </w:rPr>
              <w:t xml:space="preserve"> of the assigned homes and businesses</w:t>
            </w:r>
            <w:r w:rsidR="009414E1">
              <w:rPr>
                <w:sz w:val="22"/>
                <w:szCs w:val="22"/>
              </w:rPr>
              <w:t xml:space="preserve"> in the areas won</w:t>
            </w:r>
            <w:r w:rsidRPr="001749CC">
              <w:rPr>
                <w:sz w:val="22"/>
                <w:szCs w:val="22"/>
              </w:rPr>
              <w:t xml:space="preserve"> in a state within three years.  Buildout must increase by 20</w:t>
            </w:r>
            <w:r w:rsidR="008164E5">
              <w:rPr>
                <w:sz w:val="22"/>
                <w:szCs w:val="22"/>
              </w:rPr>
              <w:t>%</w:t>
            </w:r>
            <w:r w:rsidRPr="001749CC">
              <w:rPr>
                <w:sz w:val="22"/>
                <w:szCs w:val="22"/>
              </w:rPr>
              <w:t xml:space="preserve"> in each subsequent year, until complete buildout is reach</w:t>
            </w:r>
            <w:r w:rsidRPr="001749CC" w:rsidR="005C1105">
              <w:rPr>
                <w:sz w:val="22"/>
                <w:szCs w:val="22"/>
              </w:rPr>
              <w:t>ed</w:t>
            </w:r>
            <w:r w:rsidRPr="001749CC">
              <w:rPr>
                <w:sz w:val="22"/>
                <w:szCs w:val="22"/>
              </w:rPr>
              <w:t xml:space="preserve"> at the end of the sixth year.</w:t>
            </w:r>
          </w:p>
          <w:p w:rsidR="003E54AF" w:rsidRPr="001749CC" w:rsidP="003E54AF" w14:paraId="32AE868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27650" w:rsidRPr="001749CC" w:rsidP="00227650" w14:paraId="636C8647" w14:textId="3C09F8A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 xml:space="preserve">The Connect America Fund Phase II auction is part of a broader effort by the FCC to close the digital divide in rural America.  In addition to the funding that will </w:t>
            </w:r>
            <w:r w:rsidRPr="001749CC" w:rsidR="005C1105">
              <w:rPr>
                <w:sz w:val="22"/>
                <w:szCs w:val="22"/>
              </w:rPr>
              <w:t>be</w:t>
            </w:r>
            <w:r w:rsidR="009414E1">
              <w:rPr>
                <w:sz w:val="22"/>
                <w:szCs w:val="22"/>
              </w:rPr>
              <w:t xml:space="preserve"> made available through </w:t>
            </w:r>
            <w:r w:rsidRPr="001749CC">
              <w:rPr>
                <w:sz w:val="22"/>
                <w:szCs w:val="22"/>
              </w:rPr>
              <w:t xml:space="preserve">this auction, the Commission </w:t>
            </w:r>
            <w:r w:rsidR="00000AEF">
              <w:rPr>
                <w:sz w:val="22"/>
                <w:szCs w:val="22"/>
              </w:rPr>
              <w:t>recently</w:t>
            </w:r>
            <w:r>
              <w:rPr>
                <w:sz w:val="22"/>
                <w:szCs w:val="22"/>
              </w:rPr>
              <w:t xml:space="preserve"> provided 186 companies in 43 states $65.7 million in additional </w:t>
            </w:r>
            <w:r w:rsidR="003D538A">
              <w:rPr>
                <w:sz w:val="22"/>
                <w:szCs w:val="22"/>
              </w:rPr>
              <w:t xml:space="preserve">annual </w:t>
            </w:r>
            <w:r>
              <w:rPr>
                <w:sz w:val="22"/>
                <w:szCs w:val="22"/>
              </w:rPr>
              <w:t xml:space="preserve">funding to upgrade broadband speeds in rural communities, and offered incentives for over 500 rural carriers to provide faster broadband to over 1 million rural homes and businesses.  Chairman Pai also announced his intention to create the Rural Digital Opportunity Fund, which will </w:t>
            </w:r>
            <w:r w:rsidR="00131CA0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>$20.4 billion over the next decade</w:t>
            </w:r>
            <w:r w:rsidR="00131CA0">
              <w:rPr>
                <w:sz w:val="22"/>
                <w:szCs w:val="22"/>
              </w:rPr>
              <w:t xml:space="preserve"> to connect </w:t>
            </w:r>
            <w:r w:rsidR="009414E1">
              <w:rPr>
                <w:sz w:val="22"/>
                <w:szCs w:val="22"/>
              </w:rPr>
              <w:t xml:space="preserve">approximately </w:t>
            </w:r>
            <w:r w:rsidR="00131CA0">
              <w:rPr>
                <w:sz w:val="22"/>
                <w:szCs w:val="22"/>
              </w:rPr>
              <w:t xml:space="preserve">four million rural homes and businesses to </w:t>
            </w:r>
            <w:r>
              <w:rPr>
                <w:sz w:val="22"/>
                <w:szCs w:val="22"/>
              </w:rPr>
              <w:t>high-speed broadband</w:t>
            </w:r>
            <w:r w:rsidR="00131CA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representing </w:t>
            </w:r>
            <w:r w:rsidR="00131CA0">
              <w:rPr>
                <w:sz w:val="22"/>
                <w:szCs w:val="22"/>
              </w:rPr>
              <w:t>the FCC’s single biggest step yet to close the digital divide.</w:t>
            </w:r>
            <w:r w:rsidR="00131CA0">
              <w:rPr>
                <w:sz w:val="22"/>
                <w:szCs w:val="22"/>
              </w:rPr>
              <w:t xml:space="preserve"> </w:t>
            </w:r>
          </w:p>
          <w:p w:rsidR="005071CD" w:rsidRPr="001749CC" w:rsidP="003E54AF" w14:paraId="782F62AC" w14:textId="77777777">
            <w:pPr>
              <w:rPr>
                <w:sz w:val="22"/>
                <w:szCs w:val="22"/>
              </w:rPr>
            </w:pPr>
          </w:p>
          <w:p w:rsidR="003E54AF" w:rsidRPr="00EE53E5" w:rsidP="003E54AF" w14:paraId="4CE96A94" w14:textId="6595E009">
            <w:pPr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 xml:space="preserve">More information is available </w:t>
            </w:r>
            <w:r w:rsidRPr="001749CC" w:rsidR="005071CD">
              <w:rPr>
                <w:sz w:val="22"/>
                <w:szCs w:val="22"/>
              </w:rPr>
              <w:t xml:space="preserve">on the auction is available </w:t>
            </w:r>
            <w:r w:rsidRPr="001749CC">
              <w:rPr>
                <w:sz w:val="22"/>
                <w:szCs w:val="22"/>
              </w:rPr>
              <w:t xml:space="preserve">at </w:t>
            </w:r>
            <w:hyperlink r:id="rId5" w:history="1">
              <w:r w:rsidRPr="001749CC">
                <w:rPr>
                  <w:rStyle w:val="Hyperlink"/>
                  <w:sz w:val="22"/>
                  <w:szCs w:val="22"/>
                </w:rPr>
                <w:t>https://www.fcc.gov/auction/903</w:t>
              </w:r>
            </w:hyperlink>
            <w:r w:rsidR="00F24018">
              <w:rPr>
                <w:rStyle w:val="Hyperlink"/>
                <w:sz w:val="22"/>
                <w:szCs w:val="22"/>
              </w:rPr>
              <w:t>.</w:t>
            </w:r>
            <w:r w:rsidR="00F24018">
              <w:rPr>
                <w:rStyle w:val="Hyperlink"/>
              </w:rPr>
              <w:t xml:space="preserve">  </w:t>
            </w:r>
            <w:r w:rsidRPr="001749CC" w:rsidR="00EE53E5">
              <w:rPr>
                <w:sz w:val="22"/>
                <w:szCs w:val="22"/>
              </w:rPr>
              <w:t xml:space="preserve"> </w:t>
            </w:r>
            <w:r w:rsidRPr="001749CC">
              <w:rPr>
                <w:sz w:val="22"/>
                <w:szCs w:val="22"/>
              </w:rPr>
              <w:t xml:space="preserve">A map of winning bids is available at </w:t>
            </w:r>
            <w:hyperlink r:id="rId6" w:history="1">
              <w:r w:rsidRPr="001749CC">
                <w:rPr>
                  <w:rStyle w:val="Hyperlink"/>
                  <w:sz w:val="22"/>
                  <w:szCs w:val="22"/>
                </w:rPr>
                <w:t>https://www.fcc.gov/reports-research/maps/caf2-auction903-results/</w:t>
              </w:r>
            </w:hyperlink>
            <w:r w:rsidRPr="001749CC" w:rsidR="006A6219">
              <w:rPr>
                <w:rStyle w:val="Hyperlink"/>
                <w:sz w:val="22"/>
                <w:szCs w:val="22"/>
              </w:rPr>
              <w:t>.</w:t>
            </w:r>
          </w:p>
          <w:p w:rsidR="00A120B0" w:rsidRPr="00E15836" w:rsidP="00A120B0" w14:paraId="31AA809D" w14:textId="77777777">
            <w:pPr>
              <w:ind w:right="7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14:paraId="2A366F6E" w14:textId="77777777" w:rsidTr="003E54A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3E54AF" w:rsidRPr="00A120B0" w:rsidP="00A120B0" w14:paraId="3CF563B2" w14:textId="77777777"/>
          <w:p w:rsidR="003E54AF" w:rsidP="003E54AF" w14:paraId="2CFE6B5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###</w:t>
            </w:r>
          </w:p>
          <w:p w:rsidR="003E54AF" w:rsidP="003E54AF" w14:paraId="3769EED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E54AF" w:rsidP="003E54AF" w14:paraId="75FC3A9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3E54AF" w:rsidRPr="006B0A70" w:rsidP="003E54AF" w14:paraId="6861A60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3E54AF" w:rsidRPr="006B0A70" w:rsidP="003E54AF" w14:paraId="052C14D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3E54AF" w:rsidRPr="006B0A70" w:rsidP="003E54AF" w14:paraId="072961D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3E54AF" w:rsidRPr="00285C36" w:rsidP="003E54AF" w14:paraId="599A483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3E54AF" w:rsidRPr="00EE0E90" w:rsidP="003E54AF" w14:paraId="0ED2710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E54AF" w:rsidRPr="008F28AB" w:rsidP="003E54AF" w14:paraId="3A45FE38" w14:textId="77777777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</w:t>
            </w:r>
            <w:r w:rsidR="008164E5">
              <w:rPr>
                <w:bCs/>
                <w:i/>
                <w:sz w:val="18"/>
                <w:szCs w:val="18"/>
              </w:rPr>
              <w:t>).</w:t>
            </w:r>
          </w:p>
        </w:tc>
      </w:tr>
    </w:tbl>
    <w:p w:rsidR="003E54AF" w14:paraId="055D9493" w14:textId="77777777">
      <w:pPr>
        <w:rPr>
          <w:b/>
          <w:bCs/>
          <w:sz w:val="2"/>
          <w:szCs w:val="2"/>
        </w:rPr>
      </w:pPr>
    </w:p>
    <w:p w:rsidR="003E54AF" w:rsidP="003E54AF" w14:paraId="7219750F" w14:textId="77777777">
      <w:pPr>
        <w:rPr>
          <w:b/>
          <w:bCs/>
          <w:sz w:val="2"/>
          <w:szCs w:val="2"/>
        </w:rPr>
      </w:pPr>
    </w:p>
    <w:p w:rsidR="003E54AF" w:rsidRPr="00E42834" w:rsidP="003E54AF" w14:paraId="55ACC05A" w14:textId="77777777">
      <w:pPr>
        <w:rPr>
          <w:sz w:val="2"/>
          <w:szCs w:val="2"/>
        </w:rPr>
      </w:pPr>
    </w:p>
    <w:p w:rsidR="003E54AF" w:rsidRPr="00E42834" w:rsidP="003E54AF" w14:paraId="5F5C18EE" w14:textId="77777777">
      <w:pPr>
        <w:rPr>
          <w:sz w:val="2"/>
          <w:szCs w:val="2"/>
        </w:rPr>
      </w:pPr>
    </w:p>
    <w:p w:rsidR="003E54AF" w:rsidRPr="00E42834" w:rsidP="003E54AF" w14:paraId="6B35534D" w14:textId="77777777">
      <w:pPr>
        <w:rPr>
          <w:sz w:val="2"/>
          <w:szCs w:val="2"/>
        </w:rPr>
      </w:pPr>
    </w:p>
    <w:p w:rsidR="003E54AF" w:rsidRPr="00E42834" w:rsidP="003E54AF" w14:paraId="77C99FF0" w14:textId="77777777">
      <w:pPr>
        <w:rPr>
          <w:sz w:val="2"/>
          <w:szCs w:val="2"/>
        </w:rPr>
      </w:pPr>
    </w:p>
    <w:p w:rsidR="003E54AF" w:rsidRPr="00E42834" w:rsidP="003E54AF" w14:paraId="0D09BAD8" w14:textId="77777777">
      <w:pPr>
        <w:rPr>
          <w:sz w:val="2"/>
          <w:szCs w:val="2"/>
        </w:rPr>
      </w:pPr>
    </w:p>
    <w:p w:rsidR="003E54AF" w:rsidRPr="00E42834" w:rsidP="003E54AF" w14:paraId="49519F4C" w14:textId="77777777">
      <w:pPr>
        <w:rPr>
          <w:sz w:val="2"/>
          <w:szCs w:val="2"/>
        </w:rPr>
      </w:pPr>
    </w:p>
    <w:p w:rsidR="003E54AF" w:rsidRPr="00E42834" w:rsidP="003E54AF" w14:paraId="5B59149A" w14:textId="77777777">
      <w:pPr>
        <w:rPr>
          <w:sz w:val="2"/>
          <w:szCs w:val="2"/>
        </w:rPr>
      </w:pPr>
    </w:p>
    <w:p w:rsidR="003E54AF" w:rsidRPr="00E42834" w:rsidP="003E54AF" w14:paraId="03784AAA" w14:textId="77777777">
      <w:pPr>
        <w:rPr>
          <w:sz w:val="2"/>
          <w:szCs w:val="2"/>
        </w:rPr>
      </w:pPr>
    </w:p>
    <w:sectPr w:rsidSect="003E54AF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BEF06E7"/>
    <w:multiLevelType w:val="hybridMultilevel"/>
    <w:tmpl w:val="14EC0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C09A8"/>
    <w:multiLevelType w:val="hybridMultilevel"/>
    <w:tmpl w:val="60F862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295011"/>
    <w:multiLevelType w:val="multilevel"/>
    <w:tmpl w:val="CA0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9D"/>
    <w:rsid w:val="00000AEF"/>
    <w:rsid w:val="000517E9"/>
    <w:rsid w:val="00061C5F"/>
    <w:rsid w:val="0006537B"/>
    <w:rsid w:val="00066602"/>
    <w:rsid w:val="0009225A"/>
    <w:rsid w:val="000D2730"/>
    <w:rsid w:val="00131CA0"/>
    <w:rsid w:val="001749CC"/>
    <w:rsid w:val="001A0857"/>
    <w:rsid w:val="00227650"/>
    <w:rsid w:val="002460C8"/>
    <w:rsid w:val="0025712B"/>
    <w:rsid w:val="00285C36"/>
    <w:rsid w:val="0029109D"/>
    <w:rsid w:val="002C2D44"/>
    <w:rsid w:val="002E4D7A"/>
    <w:rsid w:val="002F0555"/>
    <w:rsid w:val="003511C7"/>
    <w:rsid w:val="0038663F"/>
    <w:rsid w:val="003A6C1C"/>
    <w:rsid w:val="003D36EA"/>
    <w:rsid w:val="003D538A"/>
    <w:rsid w:val="003E54AF"/>
    <w:rsid w:val="003F60AE"/>
    <w:rsid w:val="004024EE"/>
    <w:rsid w:val="0043303B"/>
    <w:rsid w:val="00435AF6"/>
    <w:rsid w:val="004371A0"/>
    <w:rsid w:val="0048121C"/>
    <w:rsid w:val="004942A3"/>
    <w:rsid w:val="005022FA"/>
    <w:rsid w:val="005071CD"/>
    <w:rsid w:val="00514E06"/>
    <w:rsid w:val="00567DD6"/>
    <w:rsid w:val="005C1105"/>
    <w:rsid w:val="005C5CD1"/>
    <w:rsid w:val="005E721C"/>
    <w:rsid w:val="0060111F"/>
    <w:rsid w:val="006365A2"/>
    <w:rsid w:val="0067069C"/>
    <w:rsid w:val="00670C70"/>
    <w:rsid w:val="0069506E"/>
    <w:rsid w:val="006A6219"/>
    <w:rsid w:val="006B0A70"/>
    <w:rsid w:val="006D061A"/>
    <w:rsid w:val="006E4A76"/>
    <w:rsid w:val="006F4547"/>
    <w:rsid w:val="00730BD9"/>
    <w:rsid w:val="007327DA"/>
    <w:rsid w:val="00764999"/>
    <w:rsid w:val="007652E0"/>
    <w:rsid w:val="007926E4"/>
    <w:rsid w:val="00795C7A"/>
    <w:rsid w:val="007A26A1"/>
    <w:rsid w:val="007E4ACE"/>
    <w:rsid w:val="00800197"/>
    <w:rsid w:val="008072C4"/>
    <w:rsid w:val="00810950"/>
    <w:rsid w:val="008164E5"/>
    <w:rsid w:val="00831441"/>
    <w:rsid w:val="0084753A"/>
    <w:rsid w:val="00850E26"/>
    <w:rsid w:val="0085436D"/>
    <w:rsid w:val="008A489F"/>
    <w:rsid w:val="008B5BF5"/>
    <w:rsid w:val="008F2891"/>
    <w:rsid w:val="008F28AB"/>
    <w:rsid w:val="00910F57"/>
    <w:rsid w:val="00935787"/>
    <w:rsid w:val="009414E1"/>
    <w:rsid w:val="00943A46"/>
    <w:rsid w:val="00967865"/>
    <w:rsid w:val="00986C92"/>
    <w:rsid w:val="009C671F"/>
    <w:rsid w:val="009F45BE"/>
    <w:rsid w:val="00A120B0"/>
    <w:rsid w:val="00A2327F"/>
    <w:rsid w:val="00A86FA9"/>
    <w:rsid w:val="00AA2EB7"/>
    <w:rsid w:val="00AF3744"/>
    <w:rsid w:val="00B0774D"/>
    <w:rsid w:val="00B16D9B"/>
    <w:rsid w:val="00B17466"/>
    <w:rsid w:val="00B20F50"/>
    <w:rsid w:val="00B429AE"/>
    <w:rsid w:val="00B4314F"/>
    <w:rsid w:val="00B47877"/>
    <w:rsid w:val="00BA42C4"/>
    <w:rsid w:val="00BD0907"/>
    <w:rsid w:val="00BD6ED8"/>
    <w:rsid w:val="00BF054D"/>
    <w:rsid w:val="00C0340B"/>
    <w:rsid w:val="00C05B37"/>
    <w:rsid w:val="00C063E2"/>
    <w:rsid w:val="00C11F82"/>
    <w:rsid w:val="00C4360C"/>
    <w:rsid w:val="00C921F4"/>
    <w:rsid w:val="00CD2084"/>
    <w:rsid w:val="00D324B5"/>
    <w:rsid w:val="00D417F6"/>
    <w:rsid w:val="00D731E7"/>
    <w:rsid w:val="00D81F00"/>
    <w:rsid w:val="00D86A4D"/>
    <w:rsid w:val="00DA3FBC"/>
    <w:rsid w:val="00DD070B"/>
    <w:rsid w:val="00DF1A38"/>
    <w:rsid w:val="00DF5A32"/>
    <w:rsid w:val="00E15836"/>
    <w:rsid w:val="00E25C00"/>
    <w:rsid w:val="00E42834"/>
    <w:rsid w:val="00E60EBF"/>
    <w:rsid w:val="00E70757"/>
    <w:rsid w:val="00E909CC"/>
    <w:rsid w:val="00E90BD2"/>
    <w:rsid w:val="00E91E75"/>
    <w:rsid w:val="00EA39B6"/>
    <w:rsid w:val="00EC3869"/>
    <w:rsid w:val="00EE0E90"/>
    <w:rsid w:val="00EE53E5"/>
    <w:rsid w:val="00F17958"/>
    <w:rsid w:val="00F24018"/>
    <w:rsid w:val="00F635EA"/>
    <w:rsid w:val="00F75AB8"/>
    <w:rsid w:val="00FA75C8"/>
    <w:rsid w:val="00FB6285"/>
    <w:rsid w:val="00FC22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CC0579-F5EF-45FC-ADBF-380388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uiPriority w:val="99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0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3B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E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EB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D41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414A"/>
  </w:style>
  <w:style w:type="character" w:styleId="FootnoteReference">
    <w:name w:val="footnote reference"/>
    <w:basedOn w:val="DefaultParagraphFont"/>
    <w:semiHidden/>
    <w:unhideWhenUsed/>
    <w:rsid w:val="008D41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85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5501"/>
  </w:style>
  <w:style w:type="character" w:styleId="EndnoteReference">
    <w:name w:val="endnote reference"/>
    <w:basedOn w:val="DefaultParagraphFont"/>
    <w:semiHidden/>
    <w:unhideWhenUsed/>
    <w:rsid w:val="00685501"/>
    <w:rPr>
      <w:vertAlign w:val="superscript"/>
    </w:rPr>
  </w:style>
  <w:style w:type="character" w:customStyle="1" w:styleId="UnresolvedMention2">
    <w:name w:val="Unresolved Mention2"/>
    <w:basedOn w:val="DefaultParagraphFont"/>
    <w:rsid w:val="004627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72C4"/>
    <w:pPr>
      <w:ind w:left="720"/>
      <w:contextualSpacing/>
    </w:pPr>
  </w:style>
  <w:style w:type="table" w:styleId="TableGrid">
    <w:name w:val="Table Grid"/>
    <w:basedOn w:val="TableNormal"/>
    <w:rsid w:val="00AA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3" TargetMode="External" /><Relationship Id="rId6" Type="http://schemas.openxmlformats.org/officeDocument/2006/relationships/hyperlink" Target="https://www.fcc.gov/reports-research/maps/caf2-auction903-results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