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28B" w:rsidP="00623DB2" w14:paraId="2E37CCBF" w14:textId="77777777">
      <w:pPr>
        <w:jc w:val="center"/>
        <w:rPr>
          <w:b/>
        </w:rPr>
      </w:pPr>
      <w:r>
        <w:rPr>
          <w:b/>
        </w:rPr>
        <w:t>Before the</w:t>
      </w:r>
    </w:p>
    <w:p w:rsidR="0060228B" w:rsidP="00623DB2" w14:paraId="2DB683D8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P="00623DB2" w14:paraId="4DECC1BF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P="00623DB2" w14:paraId="0ED192C8" w14:textId="77777777"/>
    <w:p w:rsidR="0060228B" w:rsidP="00623DB2" w14:paraId="18F8C6B2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0B7E5491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:rsidP="00623DB2" w14:paraId="1AEB4B72" w14:textId="77777777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:rsidP="00623DB2" w14:paraId="4FBA1168" w14:textId="77777777">
            <w:pPr>
              <w:ind w:right="-18"/>
            </w:pPr>
          </w:p>
          <w:p w:rsidR="0060228B" w:rsidP="00623DB2" w14:paraId="303A9714" w14:textId="77777777">
            <w:pPr>
              <w:ind w:right="-18"/>
            </w:pPr>
            <w:r>
              <w:t>Rural Call Completion</w:t>
            </w:r>
          </w:p>
        </w:tc>
        <w:tc>
          <w:tcPr>
            <w:tcW w:w="720" w:type="dxa"/>
          </w:tcPr>
          <w:p w:rsidR="0060228B" w:rsidP="00623DB2" w14:paraId="52C29B01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P="00623DB2" w14:paraId="0EC14CCF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P="00623DB2" w14:paraId="28AC53B4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P="00623DB2" w14:paraId="7613E433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P="00623DB2" w14:paraId="74266120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P="00623DB2" w14:paraId="7F68F857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P="00623DB2" w14:paraId="790C1B36" w14:textId="77777777"/>
          <w:p w:rsidR="0060228B" w:rsidP="00623DB2" w14:paraId="607CDF53" w14:textId="77777777"/>
          <w:p w:rsidR="0060228B" w:rsidRPr="00E32B1D" w:rsidP="00623DB2" w14:paraId="319064F8" w14:textId="77777777">
            <w:r w:rsidRPr="00E32B1D">
              <w:t>WC Docket No. 13-39</w:t>
            </w:r>
          </w:p>
        </w:tc>
      </w:tr>
    </w:tbl>
    <w:p w:rsidR="0060228B" w:rsidP="00623DB2" w14:paraId="087EE352" w14:textId="77777777"/>
    <w:p w:rsidR="0060228B" w:rsidP="00073EF6" w14:paraId="06E36D73" w14:textId="77777777">
      <w:pPr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:rsidP="00623DB2" w14:paraId="5DEA9224" w14:textId="77777777">
      <w:pPr>
        <w:tabs>
          <w:tab w:val="left" w:pos="5760"/>
        </w:tabs>
        <w:rPr>
          <w:b/>
        </w:rPr>
      </w:pPr>
    </w:p>
    <w:p w:rsidR="0060228B" w:rsidP="0007596D" w14:paraId="0AF56638" w14:textId="405A7DB7">
      <w:pPr>
        <w:jc w:val="right"/>
        <w:rPr>
          <w:b/>
        </w:rPr>
      </w:pPr>
      <w:r>
        <w:rPr>
          <w:b/>
        </w:rPr>
        <w:t xml:space="preserve">Released: </w:t>
      </w:r>
      <w:r w:rsidR="006E0A12">
        <w:rPr>
          <w:b/>
        </w:rPr>
        <w:t>June 17, 2019</w:t>
      </w:r>
    </w:p>
    <w:p w:rsidR="0060228B" w14:paraId="035F1E7B" w14:textId="77777777">
      <w:pPr>
        <w:tabs>
          <w:tab w:val="left" w:pos="5760"/>
        </w:tabs>
        <w:rPr>
          <w:b/>
        </w:rPr>
      </w:pPr>
    </w:p>
    <w:p w:rsidR="0060228B" w14:paraId="732107A2" w14:textId="77777777">
      <w:pPr>
        <w:tabs>
          <w:tab w:val="left" w:pos="5760"/>
        </w:tabs>
      </w:pPr>
      <w:r>
        <w:t xml:space="preserve">By the </w:t>
      </w:r>
      <w:r w:rsidR="003E1E98">
        <w:t>Chief, Wireline Competition Bureau and Managing Director, Office of Managing Director</w:t>
      </w:r>
      <w:r>
        <w:rPr>
          <w:spacing w:val="-2"/>
        </w:rPr>
        <w:t>:</w:t>
      </w:r>
    </w:p>
    <w:p w:rsidR="0060228B" w14:paraId="552EBF78" w14:textId="77777777"/>
    <w:p w:rsidR="00916B83" w:rsidP="00623DB2" w14:paraId="7D7454E7" w14:textId="5081B62A">
      <w:pPr>
        <w:pStyle w:val="ParaNum"/>
        <w:numPr>
          <w:ilvl w:val="0"/>
          <w:numId w:val="0"/>
        </w:numPr>
        <w:spacing w:after="0"/>
        <w:ind w:firstLine="720"/>
      </w:pPr>
      <w:r>
        <w:t xml:space="preserve">On </w:t>
      </w:r>
      <w:r w:rsidR="00FA580F">
        <w:t>March 15, 2019</w:t>
      </w:r>
      <w:r>
        <w:t xml:space="preserve">, the </w:t>
      </w:r>
      <w:r w:rsidR="00FA580F">
        <w:t>Commission</w:t>
      </w:r>
      <w:r>
        <w:t xml:space="preserve"> released a</w:t>
      </w:r>
      <w:r w:rsidRPr="00A6678A">
        <w:t xml:space="preserve"> </w:t>
      </w:r>
      <w:r w:rsidR="00FA580F">
        <w:t>Fourth Report and Order</w:t>
      </w:r>
      <w:r w:rsidR="00AE3C1F">
        <w:t xml:space="preserve"> (</w:t>
      </w:r>
      <w:r w:rsidRPr="00E048A0" w:rsidR="00AE3C1F">
        <w:rPr>
          <w:i/>
        </w:rPr>
        <w:t>Fourth RCC Order</w:t>
      </w:r>
      <w:r w:rsidR="00AE3C1F">
        <w:t>)</w:t>
      </w:r>
      <w:r w:rsidRPr="00FA580F">
        <w:t>,</w:t>
      </w:r>
      <w:r w:rsidR="00FA580F">
        <w:t xml:space="preserve"> FCC 19-23</w:t>
      </w:r>
      <w:r>
        <w:t xml:space="preserve">, in the above captioned proceeding.  </w:t>
      </w:r>
      <w:r w:rsidR="00D3616E">
        <w:rPr>
          <w:szCs w:val="22"/>
        </w:rPr>
        <w:t>T</w:t>
      </w:r>
      <w:r>
        <w:t xml:space="preserve">his Erratum </w:t>
      </w:r>
      <w:r w:rsidR="00FA580F">
        <w:t xml:space="preserve">adopts non-substantive changes to the final rules adopted in the </w:t>
      </w:r>
      <w:r w:rsidRPr="00E048A0" w:rsidR="00FA580F">
        <w:rPr>
          <w:i/>
        </w:rPr>
        <w:t xml:space="preserve">Fourth </w:t>
      </w:r>
      <w:r w:rsidRPr="00E048A0" w:rsidR="004C2D5E">
        <w:rPr>
          <w:i/>
        </w:rPr>
        <w:t>RCC</w:t>
      </w:r>
      <w:r w:rsidRPr="00E048A0" w:rsidR="00FA580F">
        <w:rPr>
          <w:i/>
        </w:rPr>
        <w:t xml:space="preserve"> Order</w:t>
      </w:r>
      <w:r w:rsidR="00340224">
        <w:rPr>
          <w:szCs w:val="22"/>
        </w:rPr>
        <w:t xml:space="preserve"> relating</w:t>
      </w:r>
      <w:r w:rsidR="004C2D5E">
        <w:t xml:space="preserve"> to the implementation of the sunset provisions for </w:t>
      </w:r>
      <w:r w:rsidR="00AE175C">
        <w:t>sections</w:t>
      </w:r>
      <w:r w:rsidR="004C2D5E">
        <w:t xml:space="preserve"> 64.2103 and 64.2107</w:t>
      </w:r>
      <w:r w:rsidR="00340224">
        <w:t>.</w:t>
      </w:r>
      <w:r>
        <w:rPr>
          <w:rStyle w:val="FootnoteReference"/>
        </w:rPr>
        <w:footnoteReference w:id="3"/>
      </w:r>
      <w:r w:rsidR="00BD4BA5">
        <w:t xml:space="preserve">  </w:t>
      </w:r>
      <w:r w:rsidR="00340224">
        <w:t xml:space="preserve">These changes </w:t>
      </w:r>
      <w:r w:rsidR="004C2D5E">
        <w:t xml:space="preserve">are </w:t>
      </w:r>
      <w:r w:rsidR="00E048A0">
        <w:t xml:space="preserve">necessary to reflect the Commission’s intent regarding the expiration of these sections in a manner that ensures compliance with the requirements of the </w:t>
      </w:r>
      <w:r w:rsidRPr="00E048A0" w:rsidR="00E048A0">
        <w:t>National Archives and Records Administration</w:t>
      </w:r>
      <w:r w:rsidR="00E048A0">
        <w:t xml:space="preserve">’s Office of the Federal Register. </w:t>
      </w:r>
    </w:p>
    <w:p w:rsidR="004C14DB" w:rsidP="00623DB2" w14:paraId="1B3658C1" w14:textId="0EF7A262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</w:p>
    <w:p w:rsidR="004C14DB" w:rsidP="004C14DB" w14:paraId="4D1D3AE7" w14:textId="6FD346BF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  <w:r>
        <w:rPr>
          <w:szCs w:val="22"/>
        </w:rPr>
        <w:t>T</w:t>
      </w:r>
      <w:r>
        <w:t xml:space="preserve">his Erratum amends Appendix A of the </w:t>
      </w:r>
      <w:r w:rsidRPr="00E048A0">
        <w:rPr>
          <w:i/>
        </w:rPr>
        <w:t>Fourth RCC Order</w:t>
      </w:r>
      <w:r>
        <w:rPr>
          <w:szCs w:val="22"/>
        </w:rPr>
        <w:t xml:space="preserve"> as indicated below:</w:t>
      </w:r>
    </w:p>
    <w:p w:rsidR="00623DB2" w:rsidP="00073EF6" w14:paraId="62C504FE" w14:textId="77777777">
      <w:pPr>
        <w:pStyle w:val="ParaNum"/>
        <w:numPr>
          <w:ilvl w:val="0"/>
          <w:numId w:val="0"/>
        </w:numPr>
        <w:spacing w:after="0"/>
      </w:pPr>
    </w:p>
    <w:p w:rsidR="001F3E49" w:rsidP="00623DB2" w14:paraId="3252DAA3" w14:textId="3F1EB9E4">
      <w:pPr>
        <w:pStyle w:val="ListParagraph"/>
        <w:numPr>
          <w:ilvl w:val="0"/>
          <w:numId w:val="29"/>
        </w:numPr>
        <w:ind w:left="0" w:firstLine="360"/>
        <w:contextualSpacing w:val="0"/>
      </w:pPr>
      <w:r w:rsidRPr="00AE3C1F">
        <w:rPr>
          <w:szCs w:val="22"/>
        </w:rPr>
        <w:t xml:space="preserve">Paragraph 2 is corrected </w:t>
      </w:r>
      <w:r w:rsidR="00FD3649">
        <w:t>to read as follows:</w:t>
      </w:r>
    </w:p>
    <w:p w:rsidR="00623DB2" w:rsidP="00073EF6" w14:paraId="0C03C144" w14:textId="77777777"/>
    <w:p w:rsidR="00623DB2" w:rsidRPr="00623DB2" w:rsidP="00073EF6" w14:paraId="0F1EF6E8" w14:textId="5A1CEA95">
      <w:pPr>
        <w:pStyle w:val="ListParagraph"/>
        <w:contextualSpacing w:val="0"/>
      </w:pPr>
      <w:r>
        <w:t>“</w:t>
      </w:r>
      <w:r>
        <w:t xml:space="preserve">2.  </w:t>
      </w:r>
      <w:r w:rsidRPr="00623DB2">
        <w:t>Amend section 64.2103 by adding paragraph (g) to read as follows:</w:t>
      </w:r>
    </w:p>
    <w:p w:rsidR="00623DB2" w:rsidRPr="00073EF6" w:rsidP="00073EF6" w14:paraId="2B5E0BDF" w14:textId="77777777">
      <w:pPr>
        <w:pStyle w:val="ListParagraph"/>
        <w:contextualSpacing w:val="0"/>
      </w:pPr>
    </w:p>
    <w:p w:rsidR="00623DB2" w:rsidP="00073EF6" w14:paraId="31F2EA4A" w14:textId="5BE64125">
      <w:pPr>
        <w:pStyle w:val="ListParagraph"/>
        <w:contextualSpacing w:val="0"/>
        <w:rPr>
          <w:b/>
        </w:rPr>
      </w:pPr>
      <w:r w:rsidRPr="00623DB2">
        <w:rPr>
          <w:b/>
        </w:rPr>
        <w:t>§ 64.2103 Retention of call attempt records.</w:t>
      </w:r>
    </w:p>
    <w:p w:rsidR="00623DB2" w:rsidRPr="00073EF6" w:rsidP="00073EF6" w14:paraId="0BA373C6" w14:textId="77777777">
      <w:pPr>
        <w:pStyle w:val="ListParagraph"/>
        <w:contextualSpacing w:val="0"/>
      </w:pPr>
    </w:p>
    <w:p w:rsidR="00623DB2" w:rsidP="00073EF6" w14:paraId="4F12E1B6" w14:textId="189D3252">
      <w:pPr>
        <w:pStyle w:val="ListParagraph"/>
        <w:contextualSpacing w:val="0"/>
      </w:pPr>
      <w:r w:rsidRPr="00623DB2">
        <w:t xml:space="preserve">*  *  *  *  * </w:t>
      </w:r>
    </w:p>
    <w:p w:rsidR="00623DB2" w:rsidRPr="00623DB2" w:rsidP="00073EF6" w14:paraId="61A040E3" w14:textId="77777777">
      <w:pPr>
        <w:pStyle w:val="ListParagraph"/>
        <w:contextualSpacing w:val="0"/>
      </w:pPr>
    </w:p>
    <w:p w:rsidR="00AE3C1F" w:rsidP="00073EF6" w14:paraId="1C73666E" w14:textId="62E79908">
      <w:pPr>
        <w:pStyle w:val="ListParagraph"/>
        <w:contextualSpacing w:val="0"/>
      </w:pPr>
      <w:r w:rsidRPr="00623DB2">
        <w:t>(g)  The provisions of this section shall expire on September 15, 2020.</w:t>
      </w:r>
      <w:r>
        <w:t>”</w:t>
      </w:r>
    </w:p>
    <w:p w:rsidR="00623DB2" w:rsidP="00073EF6" w14:paraId="0940716A" w14:textId="77777777"/>
    <w:p w:rsidR="00AE3C1F" w:rsidP="00623DB2" w14:paraId="77169496" w14:textId="62CD6630">
      <w:pPr>
        <w:pStyle w:val="ListParagraph"/>
        <w:numPr>
          <w:ilvl w:val="0"/>
          <w:numId w:val="29"/>
        </w:numPr>
        <w:ind w:left="0" w:firstLine="360"/>
        <w:contextualSpacing w:val="0"/>
      </w:pPr>
      <w:r>
        <w:t>A new Paragraph 3 is added to read as follows:</w:t>
      </w:r>
    </w:p>
    <w:p w:rsidR="00623DB2" w:rsidP="00623DB2" w14:paraId="7CD62017" w14:textId="4E2955C1"/>
    <w:p w:rsidR="00623DB2" w:rsidRPr="00623DB2" w:rsidP="00073EF6" w14:paraId="54EFD63E" w14:textId="7D554D07">
      <w:pPr>
        <w:ind w:left="720"/>
      </w:pPr>
      <w:r>
        <w:t xml:space="preserve">“3.  </w:t>
      </w:r>
      <w:r w:rsidRPr="00623DB2">
        <w:t>Amend section 64.2107 by adding paragraph (d) to read as follows:</w:t>
      </w:r>
    </w:p>
    <w:p w:rsidR="00E32B1D" w:rsidP="00073EF6" w14:paraId="370EE4B6" w14:textId="77777777">
      <w:pPr>
        <w:ind w:left="720"/>
        <w:rPr>
          <w:b/>
        </w:rPr>
      </w:pPr>
    </w:p>
    <w:p w:rsidR="00623DB2" w:rsidP="00073EF6" w14:paraId="0FFADA33" w14:textId="24BE63FF">
      <w:pPr>
        <w:ind w:left="720"/>
        <w:rPr>
          <w:b/>
        </w:rPr>
      </w:pPr>
      <w:r w:rsidRPr="00623DB2">
        <w:rPr>
          <w:b/>
        </w:rPr>
        <w:t>§ 64.2107 Reduced recording and retention requirements for qualifying providers under the Safe Harbor.</w:t>
      </w:r>
    </w:p>
    <w:p w:rsidR="0015651D" w:rsidRPr="00623DB2" w:rsidP="00073EF6" w14:paraId="111D9205" w14:textId="77777777">
      <w:pPr>
        <w:ind w:left="720"/>
        <w:rPr>
          <w:b/>
        </w:rPr>
      </w:pPr>
    </w:p>
    <w:p w:rsidR="00623DB2" w:rsidP="00073EF6" w14:paraId="2591898E" w14:textId="36777760">
      <w:pPr>
        <w:ind w:left="720"/>
      </w:pPr>
      <w:r w:rsidRPr="00623DB2">
        <w:t>*  *  *  *  *</w:t>
      </w:r>
    </w:p>
    <w:p w:rsidR="0015651D" w:rsidRPr="00623DB2" w:rsidP="00073EF6" w14:paraId="202B7924" w14:textId="77777777">
      <w:pPr>
        <w:ind w:left="720"/>
      </w:pPr>
    </w:p>
    <w:p w:rsidR="00623DB2" w:rsidP="0007596D" w14:paraId="22CBA3E2" w14:textId="5DEE99CA">
      <w:pPr>
        <w:ind w:left="720"/>
      </w:pPr>
      <w:r w:rsidRPr="00623DB2">
        <w:t>(d)  The provisions of this section shall expire on September 15, 2020.</w:t>
      </w:r>
      <w:r w:rsidR="0007596D">
        <w:t>”</w:t>
      </w:r>
    </w:p>
    <w:p w:rsidR="0007596D" w:rsidP="0007596D" w14:paraId="258EC562" w14:textId="713702C3"/>
    <w:p w:rsidR="009773C3" w:rsidP="00E32B1D" w14:paraId="7850EAD3" w14:textId="53235659">
      <w:pPr>
        <w:pStyle w:val="ListParagraph"/>
        <w:numPr>
          <w:ilvl w:val="0"/>
          <w:numId w:val="29"/>
        </w:numPr>
        <w:ind w:left="0" w:firstLine="360"/>
      </w:pPr>
      <w:r>
        <w:t>P</w:t>
      </w:r>
      <w:r w:rsidR="003F723D">
        <w:t xml:space="preserve">aragraph </w:t>
      </w:r>
      <w:r w:rsidR="00132F75">
        <w:t xml:space="preserve">3 is renumbered as </w:t>
      </w:r>
      <w:r w:rsidR="00AC297C">
        <w:t>P</w:t>
      </w:r>
      <w:r w:rsidR="00132F75">
        <w:t xml:space="preserve">aragraph </w:t>
      </w:r>
      <w:r w:rsidR="003F723D">
        <w:t>4</w:t>
      </w:r>
      <w:r w:rsidR="00132F75">
        <w:t>, and</w:t>
      </w:r>
      <w:r w:rsidR="003F723D">
        <w:t xml:space="preserve"> is </w:t>
      </w:r>
      <w:r>
        <w:t>corrected</w:t>
      </w:r>
      <w:r w:rsidR="003F723D">
        <w:t xml:space="preserve"> to read as follows:</w:t>
      </w:r>
    </w:p>
    <w:p w:rsidR="009773C3" w:rsidRPr="00E32B1D" w:rsidP="00E32B1D" w14:paraId="61E1DD2B" w14:textId="77777777">
      <w:pPr>
        <w:rPr>
          <w:b/>
        </w:rPr>
      </w:pPr>
    </w:p>
    <w:p w:rsidR="009773C3" w:rsidP="00E32B1D" w14:paraId="250723C0" w14:textId="62305141">
      <w:pPr>
        <w:autoSpaceDE w:val="0"/>
        <w:autoSpaceDN w:val="0"/>
        <w:adjustRightInd w:val="0"/>
        <w:ind w:left="720"/>
      </w:pPr>
      <w:r w:rsidRPr="00E32B1D">
        <w:t>“</w:t>
      </w:r>
      <w:r>
        <w:t>4.</w:t>
      </w:r>
      <w:r w:rsidR="0015651D">
        <w:t xml:space="preserve">  </w:t>
      </w:r>
      <w:r>
        <w:t>Add section 64.2109 to read as follows</w:t>
      </w:r>
      <w:bookmarkStart w:id="0" w:name="_GoBack"/>
      <w:bookmarkEnd w:id="0"/>
      <w:r>
        <w:t>:</w:t>
      </w:r>
    </w:p>
    <w:p w:rsidR="009773C3" w:rsidP="009773C3" w14:paraId="59121046" w14:textId="77777777">
      <w:pPr>
        <w:pStyle w:val="ListParagraph"/>
        <w:rPr>
          <w:b/>
        </w:rPr>
      </w:pPr>
    </w:p>
    <w:p w:rsidR="009773C3" w:rsidRPr="009773C3" w:rsidP="006E0A12" w14:paraId="5D476FED" w14:textId="6A95A8B9">
      <w:pPr>
        <w:pStyle w:val="ListParagraph"/>
      </w:pPr>
      <w:r w:rsidRPr="00073EF6">
        <w:rPr>
          <w:b/>
        </w:rPr>
        <w:t xml:space="preserve">§ 64.2109  </w:t>
      </w:r>
      <w:r w:rsidR="006E0A12">
        <w:rPr>
          <w:b/>
        </w:rPr>
        <w:t xml:space="preserve"> </w:t>
      </w:r>
      <w:r w:rsidRPr="00073EF6">
        <w:rPr>
          <w:b/>
        </w:rPr>
        <w:t>Safe harbor from intermediate provider service quality standards.</w:t>
      </w:r>
    </w:p>
    <w:p w:rsidR="006E0A12" w:rsidP="006E0A12" w14:paraId="7BE1FDD8" w14:textId="77777777">
      <w:pPr>
        <w:widowControl/>
        <w:ind w:left="720"/>
      </w:pPr>
    </w:p>
    <w:p w:rsidR="009773C3" w:rsidP="006E0A12" w14:paraId="189DD175" w14:textId="27762E7B">
      <w:pPr>
        <w:widowControl/>
        <w:ind w:left="720"/>
      </w:pPr>
      <w:r>
        <w:t>(a)(1) A covered provider may qualify as a safe harbor provider under this subpart if it files</w:t>
      </w:r>
      <w:r>
        <w:rPr>
          <w:szCs w:val="24"/>
        </w:rPr>
        <w:t>, in WC Docket No. 13–39,</w:t>
      </w:r>
      <w:r w:rsidRPr="000453D2">
        <w:rPr>
          <w:szCs w:val="24"/>
        </w:rPr>
        <w:t xml:space="preserve"> </w:t>
      </w:r>
      <w:r>
        <w:t>one of the following certifications, signed under penalty of perjury by an officer or director of the covered provider regarding the accuracy and completeness of the information provided:</w:t>
      </w:r>
    </w:p>
    <w:p w:rsidR="006E0A12" w:rsidP="006E0A12" w14:paraId="16AE9926" w14:textId="77777777">
      <w:pPr>
        <w:ind w:left="720"/>
      </w:pPr>
    </w:p>
    <w:p w:rsidR="009773C3" w:rsidP="00E32B1D" w14:paraId="797940BB" w14:textId="27D44D84">
      <w:pPr>
        <w:ind w:left="1080" w:firstLine="720"/>
      </w:pPr>
      <w:r>
        <w:t>“I ___ (name), ___ (title), an officer of ___ (entity), certify that ___ (entity) uses no intermediate providers;” or</w:t>
      </w:r>
    </w:p>
    <w:p w:rsidR="006E0A12" w:rsidP="00E32B1D" w14:paraId="1A35D950" w14:textId="77777777">
      <w:pPr>
        <w:ind w:left="1080" w:firstLine="720"/>
      </w:pPr>
    </w:p>
    <w:p w:rsidR="009773C3" w:rsidP="00E32B1D" w14:paraId="3BB52DDC" w14:textId="0146F51C">
      <w:pPr>
        <w:ind w:left="1080" w:firstLine="720"/>
      </w:pPr>
      <w:r>
        <w:t>“I ___ (name), ___ (title), an officer of ___ (entity), certify that ___ (entity) restricts by contract any intermediate provider to which a call is directed by ___ (entity) from permitting more than one additional intermediate provider in the call path before the call reaches the terminating provider or terminating tandem.  I certify that any nondisclosure agreement with an intermediate provider permits ___ (entity) to reveal the identity of the intermediate provider and any additional intermediate provider to the Commission and to the rural incumbent local exchange carrier(s) whose incoming long-distance calls are affected by the intermediate provider's performance.  I certify that ___ (entity) has a process in place to monitor the performance of its intermediate providers.”</w:t>
      </w:r>
    </w:p>
    <w:p w:rsidR="009773C3" w:rsidP="006E0A12" w14:paraId="30AD285D" w14:textId="77777777">
      <w:pPr>
        <w:ind w:left="720"/>
      </w:pPr>
    </w:p>
    <w:p w:rsidR="009773C3" w:rsidP="006E0A12" w14:paraId="7DF250A6" w14:textId="77777777">
      <w:pPr>
        <w:pStyle w:val="ParaNum"/>
        <w:numPr>
          <w:ilvl w:val="0"/>
          <w:numId w:val="0"/>
        </w:numPr>
        <w:ind w:left="720"/>
      </w:pPr>
      <w:r>
        <w:t>(2)  The certification in paragraph (a)(1) of this section must be submitted:</w:t>
      </w:r>
    </w:p>
    <w:p w:rsidR="009773C3" w:rsidP="006E0A12" w14:paraId="540CDA7A" w14:textId="77777777">
      <w:pPr>
        <w:pStyle w:val="ParaNum"/>
        <w:numPr>
          <w:ilvl w:val="0"/>
          <w:numId w:val="0"/>
        </w:numPr>
        <w:ind w:left="720"/>
      </w:pPr>
      <w:r>
        <w:t>(</w:t>
      </w:r>
      <w:r>
        <w:t>i</w:t>
      </w:r>
      <w:r>
        <w:t>) For the first time on or before February 26, 2019; and</w:t>
      </w:r>
    </w:p>
    <w:p w:rsidR="009773C3" w:rsidP="006E0A12" w14:paraId="0C266300" w14:textId="77777777">
      <w:pPr>
        <w:pStyle w:val="ParaNum"/>
        <w:numPr>
          <w:ilvl w:val="0"/>
          <w:numId w:val="0"/>
        </w:numPr>
        <w:ind w:left="720"/>
      </w:pPr>
      <w:r>
        <w:t>(ii) Annually thereafter.</w:t>
      </w:r>
    </w:p>
    <w:p w:rsidR="00DD43A0" w:rsidP="006E0A12" w14:paraId="67B324F5" w14:textId="6125C000">
      <w:pPr>
        <w:pStyle w:val="ListParagraph"/>
        <w:contextualSpacing w:val="0"/>
      </w:pPr>
      <w:r w:rsidRPr="00364EA9">
        <w:t xml:space="preserve">(b)  The requirements of </w:t>
      </w:r>
      <w:r>
        <w:rPr>
          <w:sz w:val="24"/>
          <w:szCs w:val="24"/>
        </w:rPr>
        <w:t xml:space="preserve">section </w:t>
      </w:r>
      <w:r w:rsidRPr="00364EA9">
        <w:t>64.211</w:t>
      </w:r>
      <w:r>
        <w:t>9</w:t>
      </w:r>
      <w:r w:rsidRPr="00364EA9">
        <w:t xml:space="preserve"> shall not apply to intermediate provider traffic transmitted by safe harbor qualifying covered providers functioning as intermediate providers.</w:t>
      </w:r>
      <w:r>
        <w:t>”</w:t>
      </w:r>
    </w:p>
    <w:p w:rsidR="00DD43A0" w:rsidP="006E0A12" w14:paraId="0043AEF9" w14:textId="77777777"/>
    <w:p w:rsidR="00132F75" w:rsidP="00E32B1D" w14:paraId="0451872B" w14:textId="3C43934B">
      <w:pPr>
        <w:pStyle w:val="ListParagraph"/>
        <w:numPr>
          <w:ilvl w:val="0"/>
          <w:numId w:val="29"/>
        </w:numPr>
        <w:ind w:left="0" w:firstLine="360"/>
      </w:pPr>
      <w:r>
        <w:t xml:space="preserve">Paragraph 4 is renumbered </w:t>
      </w:r>
      <w:r w:rsidR="00DD43A0">
        <w:t>as p</w:t>
      </w:r>
      <w:r>
        <w:t xml:space="preserve">aragraph 5. </w:t>
      </w:r>
    </w:p>
    <w:p w:rsidR="00132F75" w:rsidP="00132F75" w14:paraId="7CFFD061" w14:textId="3C1B3302">
      <w:pPr>
        <w:pStyle w:val="ParaNum"/>
        <w:numPr>
          <w:ilvl w:val="0"/>
          <w:numId w:val="0"/>
        </w:numPr>
      </w:pPr>
    </w:p>
    <w:p w:rsidR="00B07300" w:rsidRPr="002A29D2" w:rsidP="00073EF6" w14:paraId="0A97CCAC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P="00623DB2" w14:paraId="7C939D99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623DB2" w:rsidP="00623DB2" w14:paraId="7BD5FDF5" w14:textId="02A4AE38">
      <w:pPr>
        <w:pStyle w:val="ParaNum"/>
        <w:numPr>
          <w:ilvl w:val="0"/>
          <w:numId w:val="0"/>
        </w:numPr>
        <w:spacing w:after="0"/>
      </w:pPr>
    </w:p>
    <w:p w:rsidR="006E0A12" w:rsidP="00623DB2" w14:paraId="02BC4BB0" w14:textId="0CB056A7">
      <w:pPr>
        <w:pStyle w:val="ParaNum"/>
        <w:numPr>
          <w:ilvl w:val="0"/>
          <w:numId w:val="0"/>
        </w:numPr>
        <w:spacing w:after="0"/>
      </w:pPr>
    </w:p>
    <w:p w:rsidR="006E0A12" w:rsidP="00623DB2" w14:paraId="63F8FDDF" w14:textId="77777777">
      <w:pPr>
        <w:pStyle w:val="ParaNum"/>
        <w:numPr>
          <w:ilvl w:val="0"/>
          <w:numId w:val="0"/>
        </w:numPr>
        <w:spacing w:after="0"/>
      </w:pPr>
    </w:p>
    <w:p w:rsidR="003E1E98" w:rsidRPr="002A29D2" w:rsidP="00073EF6" w14:paraId="3C0419DF" w14:textId="711C5B2C">
      <w:pPr>
        <w:pStyle w:val="Heading1"/>
        <w:numPr>
          <w:ilvl w:val="0"/>
          <w:numId w:val="0"/>
        </w:numPr>
        <w:spacing w:after="0"/>
        <w:ind w:left="720" w:hanging="72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Kris A. Monteith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3E1E98" w:rsidP="00623DB2" w14:paraId="04614E17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Chief</w:t>
      </w:r>
    </w:p>
    <w:p w:rsidR="003E1E98" w:rsidRPr="003E1E98" w:rsidP="006E0A12" w14:paraId="23FD862C" w14:textId="7FA4B17F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6E0A12">
        <w:tab/>
      </w:r>
      <w:r>
        <w:t>Wireline Competition Bureau</w:t>
      </w:r>
    </w:p>
    <w:p w:rsidR="002A29D2" w:rsidP="00623DB2" w14:paraId="50111A34" w14:textId="308AC72E">
      <w:pPr>
        <w:pStyle w:val="ParaNum"/>
        <w:numPr>
          <w:ilvl w:val="0"/>
          <w:numId w:val="0"/>
        </w:numPr>
        <w:spacing w:after="0"/>
      </w:pPr>
    </w:p>
    <w:p w:rsidR="003E1E98" w:rsidP="0007596D" w14:paraId="6EED3383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6E0A12" w:rsidP="006E0A12" w14:paraId="1907BAF9" w14:textId="77777777">
      <w:pPr>
        <w:pStyle w:val="Heading1"/>
        <w:numPr>
          <w:ilvl w:val="0"/>
          <w:numId w:val="0"/>
        </w:numPr>
        <w:spacing w:after="0"/>
        <w:ind w:left="720" w:hanging="720"/>
        <w:rPr>
          <w:rFonts w:ascii="Times New Roman" w:hAnsi="Times New Roman"/>
          <w:b w:val="0"/>
          <w:caps w:val="0"/>
          <w:spacing w:val="-2"/>
        </w:rPr>
      </w:pPr>
    </w:p>
    <w:p w:rsidR="006E0A12" w:rsidP="006E0A12" w14:paraId="0C24ECFF" w14:textId="77777777">
      <w:pPr>
        <w:pStyle w:val="Heading1"/>
        <w:numPr>
          <w:ilvl w:val="0"/>
          <w:numId w:val="0"/>
        </w:numPr>
        <w:spacing w:after="0"/>
        <w:ind w:left="720" w:hanging="720"/>
        <w:rPr>
          <w:rFonts w:ascii="Times New Roman" w:hAnsi="Times New Roman"/>
          <w:b w:val="0"/>
          <w:caps w:val="0"/>
          <w:spacing w:val="-2"/>
        </w:rPr>
      </w:pPr>
    </w:p>
    <w:p w:rsidR="00B07300" w:rsidRPr="002A29D2" w:rsidP="006E0A12" w14:paraId="1CDE164A" w14:textId="589CA2F8">
      <w:pPr>
        <w:pStyle w:val="Heading1"/>
        <w:numPr>
          <w:ilvl w:val="0"/>
          <w:numId w:val="0"/>
        </w:numPr>
        <w:spacing w:after="0"/>
        <w:ind w:left="720" w:hanging="72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3E1E98">
        <w:rPr>
          <w:rFonts w:ascii="Times New Roman" w:hAnsi="Times New Roman"/>
          <w:b w:val="0"/>
          <w:caps w:val="0"/>
          <w:spacing w:val="-2"/>
        </w:rPr>
        <w:t>Mark Stephens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14:paraId="0F09C55D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3E1E98">
        <w:rPr>
          <w:rFonts w:ascii="Times New Roman" w:hAnsi="Times New Roman"/>
          <w:b w:val="0"/>
          <w:caps w:val="0"/>
          <w:spacing w:val="-2"/>
        </w:rPr>
        <w:t>Managing Director</w:t>
      </w:r>
    </w:p>
    <w:p w:rsidR="003E1E98" w:rsidRPr="003E1E98" w14:paraId="04E54845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Office of the Managing Director</w:t>
      </w:r>
    </w:p>
    <w:sectPr>
      <w:headerReference w:type="default" r:id="rId5"/>
      <w:footerReference w:type="default" r:id="rId6"/>
      <w:headerReference w:type="first" r:id="rId7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6F54E4CC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B6595" w14:paraId="527BB567" w14:textId="7777777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CB6595" w14:paraId="4D25B2EB" w14:textId="77777777">
      <w:pPr>
        <w:rPr>
          <w:sz w:val="20"/>
        </w:rPr>
      </w:pPr>
      <w:r>
        <w:rPr>
          <w:sz w:val="20"/>
        </w:rPr>
        <w:separator/>
      </w:r>
    </w:p>
    <w:p w:rsidR="00CB6595" w14:paraId="3A4DCDCB" w14:textId="77777777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2">
    <w:p w:rsidR="00CB6595" w14:paraId="0F93FD29" w14:textId="77777777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3">
    <w:p w:rsidR="00BD4BA5" w14:paraId="366B714B" w14:textId="1B6F73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</w:rPr>
        <w:t xml:space="preserve">The </w:t>
      </w:r>
      <w:r>
        <w:rPr>
          <w:i/>
          <w:szCs w:val="22"/>
        </w:rPr>
        <w:t xml:space="preserve">Fourth RCC Order </w:t>
      </w:r>
      <w:r>
        <w:rPr>
          <w:szCs w:val="22"/>
        </w:rPr>
        <w:t xml:space="preserve">adopted provisions to sunset sections 64.2103 and 64.2107 </w:t>
      </w:r>
      <w:r w:rsidRPr="00583AB3">
        <w:t xml:space="preserve">one year after the </w:t>
      </w:r>
      <w:r w:rsidRPr="0083473C">
        <w:t>effective date of the service quality standards</w:t>
      </w:r>
      <w:r w:rsidRPr="005928C1">
        <w:t xml:space="preserve"> </w:t>
      </w:r>
      <w:r>
        <w:t xml:space="preserve">in section 64.2119.  </w:t>
      </w:r>
      <w:r>
        <w:rPr>
          <w:i/>
        </w:rPr>
        <w:t>Rural Call Completion</w:t>
      </w:r>
      <w:r>
        <w:t>, Fourth Report and Order, WC Docket No. 13-39, FCC 19-23, 16-17, para. 41 (Mar. 15, 2019) (</w:t>
      </w:r>
      <w:r>
        <w:rPr>
          <w:i/>
        </w:rPr>
        <w:t>Fourth RCC Order</w:t>
      </w:r>
      <w:r>
        <w:t xml:space="preserve">).  </w:t>
      </w:r>
      <w:r w:rsidRPr="002C6528">
        <w:rPr>
          <w:szCs w:val="22"/>
        </w:rPr>
        <w:t xml:space="preserve">As previously indicated in the text of Appendix A, the Commission will provide public notice of the beginning of the one-year sunset period for these provisions and </w:t>
      </w:r>
      <w:r>
        <w:rPr>
          <w:szCs w:val="22"/>
        </w:rPr>
        <w:t xml:space="preserve">will </w:t>
      </w:r>
      <w:r w:rsidRPr="002C6528">
        <w:rPr>
          <w:szCs w:val="22"/>
        </w:rPr>
        <w:t xml:space="preserve">publish a notice in the Federal Register at least 60 days before the end of the sunset period.  </w:t>
      </w:r>
      <w:r>
        <w:rPr>
          <w:szCs w:val="22"/>
        </w:rPr>
        <w:t xml:space="preserve">We note that </w:t>
      </w:r>
      <w:r w:rsidRPr="00465037">
        <w:t xml:space="preserve">64.2109 shall be </w:t>
      </w:r>
      <w:r w:rsidRPr="00465037">
        <w:rPr>
          <w:rFonts w:eastAsia="Calibri"/>
          <w:szCs w:val="22"/>
        </w:rPr>
        <w:t>considered the successor regulation to section 64.2107</w:t>
      </w:r>
      <w:r>
        <w:rPr>
          <w:rFonts w:eastAsia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470E03B6" w14:textId="73A3090C">
    <w:pPr>
      <w:pStyle w:val="Header"/>
    </w:pPr>
    <w:r>
      <w:tab/>
      <w:t>Federal Communications Commission</w:t>
    </w:r>
    <w:r w:rsidR="00B45235">
      <w:tab/>
    </w:r>
    <w:r>
      <w:t xml:space="preserve"> </w:t>
    </w:r>
  </w:p>
  <w:p w:rsidR="0060228B" w:rsidP="002A29D2" w14:paraId="7FB12A97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pt"/>
          </w:pict>
        </mc:Fallback>
      </mc:AlternateContent>
    </w:r>
  </w:p>
  <w:p w:rsidR="0060228B" w:rsidP="002A29D2" w14:paraId="4ABBDC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21B0F28A" w14:textId="38088110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P="002A29D2" w14:paraId="1C5553EE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805D0A"/>
    <w:multiLevelType w:val="hybridMultilevel"/>
    <w:tmpl w:val="931052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C9F72BA"/>
    <w:multiLevelType w:val="hybridMultilevel"/>
    <w:tmpl w:val="7E088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8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3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8">
    <w:nsid w:val="6B0038FE"/>
    <w:multiLevelType w:val="hybridMultilevel"/>
    <w:tmpl w:val="E9145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7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25"/>
  </w:num>
  <w:num w:numId="7">
    <w:abstractNumId w:val="18"/>
  </w:num>
  <w:num w:numId="8">
    <w:abstractNumId w:val="10"/>
  </w:num>
  <w:num w:numId="9">
    <w:abstractNumId w:val="24"/>
  </w:num>
  <w:num w:numId="10">
    <w:abstractNumId w:val="15"/>
  </w:num>
  <w:num w:numId="11">
    <w:abstractNumId w:val="14"/>
  </w:num>
  <w:num w:numId="12">
    <w:abstractNumId w:val="11"/>
  </w:num>
  <w:num w:numId="13">
    <w:abstractNumId w:val="17"/>
  </w:num>
  <w:num w:numId="14">
    <w:abstractNumId w:val="23"/>
  </w:num>
  <w:num w:numId="15">
    <w:abstractNumId w:val="3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  <w:num w:numId="21">
    <w:abstractNumId w:val="21"/>
  </w:num>
  <w:num w:numId="22">
    <w:abstractNumId w:val="6"/>
  </w:num>
  <w:num w:numId="23">
    <w:abstractNumId w:val="26"/>
  </w:num>
  <w:num w:numId="24">
    <w:abstractNumId w:val="8"/>
  </w:num>
  <w:num w:numId="25">
    <w:abstractNumId w:val="20"/>
  </w:num>
  <w:num w:numId="26">
    <w:abstractNumId w:val="7"/>
  </w:num>
  <w:num w:numId="27">
    <w:abstractNumId w:val="1"/>
  </w:num>
  <w:num w:numId="28">
    <w:abstractNumId w:val="0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0A"/>
    <w:rsid w:val="00020FB3"/>
    <w:rsid w:val="000453D2"/>
    <w:rsid w:val="00073EF6"/>
    <w:rsid w:val="0007596D"/>
    <w:rsid w:val="000A7093"/>
    <w:rsid w:val="000B2957"/>
    <w:rsid w:val="000F76AD"/>
    <w:rsid w:val="00132F75"/>
    <w:rsid w:val="001502B2"/>
    <w:rsid w:val="0015651D"/>
    <w:rsid w:val="00167DC5"/>
    <w:rsid w:val="0019494A"/>
    <w:rsid w:val="001B385C"/>
    <w:rsid w:val="001D379B"/>
    <w:rsid w:val="001E09FC"/>
    <w:rsid w:val="001E3EE7"/>
    <w:rsid w:val="001F3E49"/>
    <w:rsid w:val="00203ED8"/>
    <w:rsid w:val="002A29D2"/>
    <w:rsid w:val="002A4E36"/>
    <w:rsid w:val="002C276F"/>
    <w:rsid w:val="002C6528"/>
    <w:rsid w:val="002E484C"/>
    <w:rsid w:val="0031081A"/>
    <w:rsid w:val="0031643C"/>
    <w:rsid w:val="00340224"/>
    <w:rsid w:val="00364EA9"/>
    <w:rsid w:val="0037317C"/>
    <w:rsid w:val="00377C01"/>
    <w:rsid w:val="00383781"/>
    <w:rsid w:val="003E1240"/>
    <w:rsid w:val="003E1E98"/>
    <w:rsid w:val="003F2CED"/>
    <w:rsid w:val="003F723D"/>
    <w:rsid w:val="00441960"/>
    <w:rsid w:val="00456E40"/>
    <w:rsid w:val="00465037"/>
    <w:rsid w:val="0047759F"/>
    <w:rsid w:val="00487991"/>
    <w:rsid w:val="004C0166"/>
    <w:rsid w:val="004C14DB"/>
    <w:rsid w:val="004C2D5E"/>
    <w:rsid w:val="004C55E1"/>
    <w:rsid w:val="004D1D9E"/>
    <w:rsid w:val="004F24A4"/>
    <w:rsid w:val="00583AB3"/>
    <w:rsid w:val="005928C1"/>
    <w:rsid w:val="00594948"/>
    <w:rsid w:val="005A09E4"/>
    <w:rsid w:val="005C0647"/>
    <w:rsid w:val="005C3D04"/>
    <w:rsid w:val="00601D20"/>
    <w:rsid w:val="0060228B"/>
    <w:rsid w:val="0060243F"/>
    <w:rsid w:val="00623DB2"/>
    <w:rsid w:val="00647EF9"/>
    <w:rsid w:val="00671413"/>
    <w:rsid w:val="0069149F"/>
    <w:rsid w:val="006A126A"/>
    <w:rsid w:val="006E0A12"/>
    <w:rsid w:val="007E661E"/>
    <w:rsid w:val="008116F9"/>
    <w:rsid w:val="0083473C"/>
    <w:rsid w:val="00880AC7"/>
    <w:rsid w:val="00891ADC"/>
    <w:rsid w:val="008C3EBB"/>
    <w:rsid w:val="00916B83"/>
    <w:rsid w:val="00925641"/>
    <w:rsid w:val="009376CF"/>
    <w:rsid w:val="009773C3"/>
    <w:rsid w:val="00986E44"/>
    <w:rsid w:val="009B5A96"/>
    <w:rsid w:val="00A05BB7"/>
    <w:rsid w:val="00A149B8"/>
    <w:rsid w:val="00A35095"/>
    <w:rsid w:val="00A6678A"/>
    <w:rsid w:val="00AC1DA7"/>
    <w:rsid w:val="00AC297C"/>
    <w:rsid w:val="00AE175C"/>
    <w:rsid w:val="00AE3C1F"/>
    <w:rsid w:val="00B07300"/>
    <w:rsid w:val="00B45235"/>
    <w:rsid w:val="00B45851"/>
    <w:rsid w:val="00B50A40"/>
    <w:rsid w:val="00B540D2"/>
    <w:rsid w:val="00B77639"/>
    <w:rsid w:val="00BA27E0"/>
    <w:rsid w:val="00BA4E70"/>
    <w:rsid w:val="00BC5D0F"/>
    <w:rsid w:val="00BD4BA5"/>
    <w:rsid w:val="00BF05BC"/>
    <w:rsid w:val="00C07DE4"/>
    <w:rsid w:val="00C2074C"/>
    <w:rsid w:val="00C25312"/>
    <w:rsid w:val="00C25F82"/>
    <w:rsid w:val="00C976B1"/>
    <w:rsid w:val="00CB6595"/>
    <w:rsid w:val="00D3616E"/>
    <w:rsid w:val="00D37C48"/>
    <w:rsid w:val="00D84A90"/>
    <w:rsid w:val="00D96E0A"/>
    <w:rsid w:val="00DD43A0"/>
    <w:rsid w:val="00E00E22"/>
    <w:rsid w:val="00E02884"/>
    <w:rsid w:val="00E048A0"/>
    <w:rsid w:val="00E32B1D"/>
    <w:rsid w:val="00E571FD"/>
    <w:rsid w:val="00E60467"/>
    <w:rsid w:val="00E832E7"/>
    <w:rsid w:val="00EA7342"/>
    <w:rsid w:val="00EB1A95"/>
    <w:rsid w:val="00ED2EA8"/>
    <w:rsid w:val="00F10EB6"/>
    <w:rsid w:val="00F25801"/>
    <w:rsid w:val="00F652B6"/>
    <w:rsid w:val="00FA580F"/>
    <w:rsid w:val="00FD3649"/>
    <w:rsid w:val="00FE50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695AAF6-CE7F-41EB-BCAB-A6C15D49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12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 Char Char,Heading 1 Char Char Char Char Char Char,Heading 1 Char Char1,Heading 1 Char Char1 Char,Heading 1 Char Char2,Heading 1 Char1 Char,Heading 1 Char1 Char Char Char2 Char,Heading 1 Char2,Heading 1 Char2 Char Char1 Char"/>
    <w:basedOn w:val="Normal"/>
    <w:next w:val="ParaNum"/>
    <w:link w:val="Heading1Char"/>
    <w:qFormat/>
    <w:rsid w:val="006E0A12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Char,Heading 2 Char Char1,Heading 2 Char Char1 Char Char Char,Heading 2 Char Char1 Char Char Char Char Char,Heading 2 Char Char3 Char,Heading 2 Char1,Heading 2 Char1 Char,Heading 2 Char1 Char Char Char,Heading 2 Char1 Char Char Char Char Char"/>
    <w:basedOn w:val="Normal"/>
    <w:next w:val="ParaNum"/>
    <w:autoRedefine/>
    <w:qFormat/>
    <w:rsid w:val="006E0A12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aliases w:val="1 Char,3 Char,Heading 3 Char Char,Heading 3 Char Char Char,Heading 3 Char Char Char Char,Heading 3 Char Char Char Char Char,Heading 3 Char Char1 Ch,Heading 3 Char1,Heading 3 Char1 Char,Heading 3 Char1 Char Char,Heading 3 Char2 Char1 Char Char"/>
    <w:basedOn w:val="Normal"/>
    <w:next w:val="ParaNum"/>
    <w:qFormat/>
    <w:rsid w:val="006E0A12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 Char,Heading 4 Char Char Char,Heading 4 Char Char1,Heading 4 Char Char1 Char Ch,Heading 4 Char1,Heading 4 Char1 Char,Heading 4 Char1 Char1,Heading 4 Char1 Char1 Char Char,Heading 4 Char2,Heading 4 Char2 Char Char"/>
    <w:basedOn w:val="Normal"/>
    <w:next w:val="ParaNum"/>
    <w:qFormat/>
    <w:rsid w:val="006E0A12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aliases w:val="Heading 5 Char Char Char Char Char,Heading 5 Char Char Char1,Heading 5 Char Char1 Char,Heading 5 Char Char2,Heading 5 Char1 Char Char Char,Heading 5 Char1 Char Char1,Heading 5 Char1 Char1,Heading 5 Char2"/>
    <w:basedOn w:val="Normal"/>
    <w:next w:val="ParaNum"/>
    <w:qFormat/>
    <w:rsid w:val="006E0A12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eading 6 Char Char,Heading 6 Char Char Char,Heading 6 Char Char1,Heading 6 Char1,Heading 6 Char1 Char,Heading 6 Char2,h6"/>
    <w:basedOn w:val="Normal"/>
    <w:next w:val="ParaNum"/>
    <w:qFormat/>
    <w:rsid w:val="006E0A12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E0A12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E0A12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9,Heading 9.table,Titre 9,Topic,t,table"/>
    <w:basedOn w:val="Normal"/>
    <w:next w:val="ParaNum"/>
    <w:qFormat/>
    <w:rsid w:val="006E0A12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E0A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E0A12"/>
  </w:style>
  <w:style w:type="paragraph" w:styleId="Caption">
    <w:name w:val="caption"/>
    <w:basedOn w:val="Normal"/>
    <w:next w:val="Normal"/>
    <w:qFormat/>
    <w:rsid w:val="006E0A12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rsid w:val="006E0A12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6E0A12"/>
    <w:pPr>
      <w:spacing w:after="120"/>
    </w:pPr>
  </w:style>
  <w:style w:type="paragraph" w:customStyle="1" w:styleId="Bullet">
    <w:name w:val="Bullet"/>
    <w:basedOn w:val="Normal"/>
    <w:rsid w:val="006E0A12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6E0A12"/>
    <w:pPr>
      <w:spacing w:after="240"/>
      <w:ind w:left="1440" w:right="1440"/>
    </w:pPr>
  </w:style>
  <w:style w:type="paragraph" w:customStyle="1" w:styleId="TableFormat">
    <w:name w:val="TableFormat"/>
    <w:basedOn w:val="Bullet"/>
    <w:rsid w:val="006E0A12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6E0A12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6E0A12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6E0A12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6E0A1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6E0A12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6E0A1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6E0A1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E0A1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E0A1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E0A1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E0A1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E0A1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E0A1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6E0A12"/>
  </w:style>
  <w:style w:type="paragraph" w:styleId="Title">
    <w:name w:val="Title"/>
    <w:basedOn w:val="Normal"/>
    <w:qFormat/>
    <w:rsid w:val="006E0A12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6E0A1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E0A12"/>
    <w:rPr>
      <w:snapToGrid w:val="0"/>
      <w:kern w:val="28"/>
    </w:rPr>
  </w:style>
  <w:style w:type="character" w:styleId="EndnoteReference">
    <w:name w:val="endnote reference"/>
    <w:rsid w:val="006E0A12"/>
    <w:rPr>
      <w:vertAlign w:val="superscript"/>
    </w:rPr>
  </w:style>
  <w:style w:type="paragraph" w:styleId="TOAHeading">
    <w:name w:val="toa heading"/>
    <w:basedOn w:val="Normal"/>
    <w:next w:val="Normal"/>
    <w:rsid w:val="006E0A1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E0A12"/>
  </w:style>
  <w:style w:type="paragraph" w:customStyle="1" w:styleId="Paratitle">
    <w:name w:val="Para title"/>
    <w:basedOn w:val="Normal"/>
    <w:rsid w:val="006E0A12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6E0A1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E0A1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E0A12"/>
    <w:rPr>
      <w:color w:val="0000FF"/>
      <w:u w:val="single"/>
    </w:rPr>
  </w:style>
  <w:style w:type="character" w:customStyle="1" w:styleId="ParaNumChar">
    <w:name w:val="ParaNum Char"/>
    <w:link w:val="ParaNum"/>
    <w:locked/>
    <w:rsid w:val="00FD3649"/>
    <w:rPr>
      <w:snapToGrid w:val="0"/>
      <w:kern w:val="28"/>
      <w:sz w:val="22"/>
    </w:rPr>
  </w:style>
  <w:style w:type="character" w:customStyle="1" w:styleId="Heading1Char">
    <w:name w:val="Heading 1 Char"/>
    <w:aliases w:val="Heading 1 Char Char Char Char,Heading 1 Char Char Char Char Char Char Char,Heading 1 Char Char1 Char Char,Heading 1 Char Char1 Char1,Heading 1 Char Char2 Char,Heading 1 Char1 Char Char,Heading 1 Char1 Char Char Char2 Char Char"/>
    <w:link w:val="Heading1"/>
    <w:rsid w:val="00FD3649"/>
    <w:rPr>
      <w:rFonts w:ascii="Times New Roman Bold" w:hAnsi="Times New Roman Bold"/>
      <w:b/>
      <w:caps/>
      <w:snapToGrid w:val="0"/>
      <w:kern w:val="28"/>
      <w:sz w:val="22"/>
    </w:rPr>
  </w:style>
  <w:style w:type="character" w:styleId="CommentReference">
    <w:name w:val="annotation reference"/>
    <w:basedOn w:val="DefaultParagraphFont"/>
    <w:semiHidden/>
    <w:unhideWhenUsed/>
    <w:rsid w:val="004C2D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2D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2D5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D5E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4C2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2D5E"/>
    <w:rPr>
      <w:rFonts w:ascii="Segoe UI" w:hAnsi="Segoe UI" w:cs="Segoe UI"/>
      <w:snapToGrid w:val="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