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04079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 w:rsidR="00131419"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4B0A" w:rsidP="005E4B0A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OFFICE OF </w:t>
            </w:r>
            <w:r w:rsidR="000B7D4E">
              <w:rPr>
                <w:b/>
                <w:bCs/>
                <w:sz w:val="26"/>
                <w:szCs w:val="26"/>
              </w:rPr>
              <w:t xml:space="preserve">ECONOMICS AND ANALYTICS </w:t>
            </w:r>
          </w:p>
          <w:p w:rsidR="00541512" w:rsidP="0054151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RELEASES </w:t>
            </w:r>
            <w:r w:rsidR="001549A0">
              <w:rPr>
                <w:b/>
                <w:bCs/>
                <w:sz w:val="26"/>
                <w:szCs w:val="26"/>
              </w:rPr>
              <w:t xml:space="preserve">WORKING </w:t>
            </w:r>
            <w:r>
              <w:rPr>
                <w:b/>
                <w:bCs/>
                <w:sz w:val="26"/>
                <w:szCs w:val="26"/>
              </w:rPr>
              <w:t>PAPER</w:t>
            </w:r>
            <w:r>
              <w:rPr>
                <w:b/>
                <w:bCs/>
                <w:sz w:val="26"/>
                <w:szCs w:val="26"/>
              </w:rPr>
              <w:t xml:space="preserve"> ON </w:t>
            </w:r>
            <w:r w:rsidR="00C46D58">
              <w:rPr>
                <w:b/>
                <w:bCs/>
                <w:sz w:val="26"/>
                <w:szCs w:val="26"/>
              </w:rPr>
              <w:t>MANDATORY</w:t>
            </w:r>
            <w:r w:rsidR="00C46D58">
              <w:rPr>
                <w:b/>
                <w:bCs/>
                <w:sz w:val="26"/>
                <w:szCs w:val="26"/>
              </w:rPr>
              <w:br/>
              <w:t>ACCESS LAWS AND MULTI-TENANT ENVIRONMENTS</w:t>
            </w:r>
          </w:p>
          <w:p w:rsidR="00F61155" w:rsidP="005E4B0A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Paper Concludes</w:t>
            </w:r>
            <w:r w:rsidR="00277A18">
              <w:rPr>
                <w:b/>
                <w:bCs/>
                <w:i/>
                <w:sz w:val="22"/>
                <w:szCs w:val="22"/>
              </w:rPr>
              <w:t xml:space="preserve"> That </w:t>
            </w:r>
            <w:r w:rsidR="00541512">
              <w:rPr>
                <w:b/>
                <w:bCs/>
                <w:i/>
                <w:sz w:val="22"/>
                <w:szCs w:val="22"/>
              </w:rPr>
              <w:t>Mandatory Access Laws May Increase Access to Broadband</w:t>
            </w:r>
          </w:p>
          <w:p w:rsidR="005E4B0A" w:rsidRPr="005E4B0A" w:rsidP="000B7D4E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2"/>
                <w:szCs w:val="22"/>
              </w:rPr>
            </w:pPr>
          </w:p>
          <w:p w:rsidR="00BD19E8" w:rsidP="005E4B0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541512">
              <w:rPr>
                <w:sz w:val="22"/>
                <w:szCs w:val="22"/>
              </w:rPr>
              <w:t>July</w:t>
            </w:r>
            <w:r w:rsidR="00F911EE">
              <w:rPr>
                <w:sz w:val="22"/>
                <w:szCs w:val="22"/>
              </w:rPr>
              <w:t xml:space="preserve"> </w:t>
            </w:r>
            <w:r w:rsidR="00541512">
              <w:rPr>
                <w:sz w:val="22"/>
                <w:szCs w:val="22"/>
              </w:rPr>
              <w:t>8</w:t>
            </w:r>
            <w:r w:rsidRPr="00F911EE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541512">
              <w:rPr>
                <w:sz w:val="22"/>
                <w:szCs w:val="22"/>
              </w:rPr>
              <w:t>T</w:t>
            </w:r>
            <w:r w:rsidRPr="000E049E" w:rsidR="000E049E">
              <w:rPr>
                <w:sz w:val="22"/>
                <w:szCs w:val="22"/>
              </w:rPr>
              <w:t xml:space="preserve">he </w:t>
            </w:r>
            <w:r w:rsidR="001C3072">
              <w:rPr>
                <w:sz w:val="22"/>
                <w:szCs w:val="22"/>
              </w:rPr>
              <w:t xml:space="preserve">FCC’s Office of Economics and Analytics </w:t>
            </w:r>
            <w:r w:rsidR="005E654C">
              <w:rPr>
                <w:sz w:val="22"/>
                <w:szCs w:val="22"/>
              </w:rPr>
              <w:t>today</w:t>
            </w:r>
            <w:r w:rsidR="00EB4F33">
              <w:rPr>
                <w:sz w:val="22"/>
                <w:szCs w:val="22"/>
              </w:rPr>
              <w:t xml:space="preserve"> </w:t>
            </w:r>
            <w:r w:rsidR="00B34A81">
              <w:rPr>
                <w:sz w:val="22"/>
                <w:szCs w:val="22"/>
              </w:rPr>
              <w:t xml:space="preserve">released </w:t>
            </w:r>
            <w:r w:rsidR="00541512">
              <w:rPr>
                <w:sz w:val="22"/>
                <w:szCs w:val="22"/>
              </w:rPr>
              <w:t xml:space="preserve">a new paper titled “An Empirical Analysis of Broadband Access in Residential Multi-Tenant Environments.”  </w:t>
            </w:r>
          </w:p>
          <w:p w:rsidR="00B34A8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B1C91" w:rsidRPr="00AC16BF" w:rsidP="00AC16B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T</w:t>
            </w:r>
            <w:r w:rsidR="00072652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Working Paper analyzes the effects of state mandatory access laws on the adoption of </w:t>
            </w:r>
            <w:r w:rsidR="00E677B2">
              <w:rPr>
                <w:sz w:val="22"/>
                <w:szCs w:val="22"/>
              </w:rPr>
              <w:t xml:space="preserve">fixed terrestrial </w:t>
            </w:r>
            <w:r>
              <w:rPr>
                <w:sz w:val="22"/>
                <w:szCs w:val="22"/>
              </w:rPr>
              <w:t>broadband services</w:t>
            </w:r>
            <w:r w:rsidR="00072652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These laws prohibit the owners of so-called Multi-Tenant Environments</w:t>
            </w:r>
            <w:r w:rsidR="00E677B2">
              <w:rPr>
                <w:sz w:val="22"/>
                <w:szCs w:val="22"/>
              </w:rPr>
              <w:t xml:space="preserve"> (MTEs)</w:t>
            </w:r>
            <w:r>
              <w:rPr>
                <w:sz w:val="22"/>
                <w:szCs w:val="22"/>
              </w:rPr>
              <w:t>, such as large apartment buildings</w:t>
            </w:r>
            <w:r w:rsidR="00D757EE">
              <w:rPr>
                <w:sz w:val="22"/>
                <w:szCs w:val="22"/>
              </w:rPr>
              <w:t xml:space="preserve"> or condominiums</w:t>
            </w:r>
            <w:r>
              <w:rPr>
                <w:sz w:val="22"/>
                <w:szCs w:val="22"/>
              </w:rPr>
              <w:t>, from interfering with service providers’ efforts to install facilities or offer services to tenants</w:t>
            </w:r>
            <w:r w:rsidR="00D757EE">
              <w:rPr>
                <w:sz w:val="22"/>
                <w:szCs w:val="22"/>
              </w:rPr>
              <w:t xml:space="preserve"> and residents</w:t>
            </w:r>
            <w:r>
              <w:rPr>
                <w:sz w:val="22"/>
                <w:szCs w:val="22"/>
              </w:rPr>
              <w:t xml:space="preserve">.  </w:t>
            </w:r>
            <w:r w:rsidR="000B7D4E">
              <w:rPr>
                <w:sz w:val="22"/>
                <w:szCs w:val="22"/>
              </w:rPr>
              <w:t xml:space="preserve">The </w:t>
            </w:r>
            <w:r w:rsidR="00393F3C">
              <w:rPr>
                <w:sz w:val="22"/>
                <w:szCs w:val="22"/>
              </w:rPr>
              <w:t xml:space="preserve">Working Paper </w:t>
            </w:r>
            <w:r w:rsidR="00AC44B3">
              <w:rPr>
                <w:sz w:val="22"/>
                <w:szCs w:val="22"/>
              </w:rPr>
              <w:t>conclude</w:t>
            </w:r>
            <w:r w:rsidR="005E4B0A">
              <w:rPr>
                <w:sz w:val="22"/>
                <w:szCs w:val="22"/>
              </w:rPr>
              <w:t>s</w:t>
            </w:r>
            <w:r w:rsidR="00AC44B3">
              <w:rPr>
                <w:sz w:val="22"/>
                <w:szCs w:val="22"/>
              </w:rPr>
              <w:t xml:space="preserve"> that </w:t>
            </w:r>
            <w:r w:rsidR="00E677B2">
              <w:t xml:space="preserve">the presence of a state mandatory access law is associated, on average, with an increase in the rates of broadband uptake for households living in </w:t>
            </w:r>
            <w:r w:rsidR="00B66AAD">
              <w:t>MTEs</w:t>
            </w:r>
            <w:r w:rsidR="00E677B2">
              <w:t xml:space="preserve">. </w:t>
            </w:r>
            <w:r w:rsidR="00D757EE">
              <w:t>Empirical analysis in the paper suggests that t</w:t>
            </w:r>
            <w:r w:rsidR="00E677B2">
              <w:t>h</w:t>
            </w:r>
            <w:r w:rsidR="00B66AAD">
              <w:t>is</w:t>
            </w:r>
            <w:r w:rsidR="00E677B2">
              <w:t xml:space="preserve"> increase </w:t>
            </w:r>
            <w:r w:rsidR="00D757EE">
              <w:t xml:space="preserve">may be </w:t>
            </w:r>
            <w:r w:rsidR="00B66AAD">
              <w:t>a</w:t>
            </w:r>
            <w:r w:rsidR="00E677B2">
              <w:t xml:space="preserve"> result of a reduction in either the cost of supplying broadband in</w:t>
            </w:r>
            <w:r w:rsidR="00B66AAD">
              <w:t xml:space="preserve"> </w:t>
            </w:r>
            <w:r w:rsidR="00E677B2">
              <w:t>MTEs or an increase in consumer choice.</w:t>
            </w:r>
          </w:p>
          <w:p w:rsidR="00EA342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4338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“Broadband is the essential communications technology of the 21</w:t>
            </w:r>
            <w:r w:rsidRPr="0098330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century,” said Giulia McHenry, Acting Chief of OEA. “With 30% of Americans living in apartments or condominiums, it’s important that we understand barriers to broadband that may affect access by these consumers.  </w:t>
            </w:r>
            <w:r>
              <w:t>This paper is a tremendous achievement, and an example of what the new OEA will continue to</w:t>
            </w:r>
            <w:r w:rsidRPr="00AC16BF">
              <w:t xml:space="preserve"> achieve </w:t>
            </w:r>
            <w:r>
              <w:t>in the future—producing academic quality research for its own sake and meaningfully informing Commission rulemaking.</w:t>
            </w:r>
          </w:p>
          <w:p w:rsidR="002B71D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B71D5" w:rsidP="002B71D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Working Paper was written by </w:t>
            </w:r>
            <w:r w:rsidR="00B92E76">
              <w:rPr>
                <w:sz w:val="22"/>
                <w:szCs w:val="22"/>
              </w:rPr>
              <w:t>Octavian</w:t>
            </w:r>
            <w:r w:rsidR="00C46D58">
              <w:rPr>
                <w:sz w:val="22"/>
                <w:szCs w:val="22"/>
              </w:rPr>
              <w:t xml:space="preserve"> Carare </w:t>
            </w:r>
            <w:r>
              <w:rPr>
                <w:sz w:val="22"/>
                <w:szCs w:val="22"/>
              </w:rPr>
              <w:t xml:space="preserve">and </w:t>
            </w:r>
            <w:r w:rsidR="00C46D58">
              <w:rPr>
                <w:sz w:val="22"/>
                <w:szCs w:val="22"/>
              </w:rPr>
              <w:t>Steven Kauffman</w:t>
            </w:r>
            <w:r>
              <w:rPr>
                <w:sz w:val="22"/>
                <w:szCs w:val="22"/>
              </w:rPr>
              <w:t xml:space="preserve">.  </w:t>
            </w:r>
          </w:p>
          <w:p w:rsidR="008E59E8" w:rsidP="002B71D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40CA1" w:rsidP="00A40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paper is </w:t>
            </w:r>
            <w:r w:rsidRPr="00523395">
              <w:rPr>
                <w:sz w:val="22"/>
                <w:szCs w:val="22"/>
              </w:rPr>
              <w:t>available at</w:t>
            </w:r>
            <w:r w:rsidRPr="00523395" w:rsidR="00523395">
              <w:rPr>
                <w:sz w:val="22"/>
                <w:szCs w:val="22"/>
              </w:rPr>
              <w:t xml:space="preserve"> </w:t>
            </w:r>
            <w:hyperlink r:id="rId5" w:tgtFrame="_blank" w:history="1">
              <w:r w:rsidRPr="00523395" w:rsidR="00523395">
                <w:rPr>
                  <w:rStyle w:val="Hyperlink"/>
                  <w:sz w:val="22"/>
                  <w:szCs w:val="22"/>
                </w:rPr>
                <w:t>DOC-358298A1.pdf</w:t>
              </w:r>
            </w:hyperlink>
            <w:r w:rsidR="00523395">
              <w:rPr>
                <w:sz w:val="22"/>
                <w:szCs w:val="22"/>
              </w:rPr>
              <w:t xml:space="preserve">. For more information about the Office of Economics and Analytics, see </w:t>
            </w:r>
            <w:hyperlink r:id="rId6" w:history="1">
              <w:r w:rsidRPr="00071516" w:rsidR="00523395">
                <w:rPr>
                  <w:rStyle w:val="Hyperlink"/>
                  <w:sz w:val="22"/>
                  <w:szCs w:val="22"/>
                </w:rPr>
                <w:t>https://www.fcc.gov/economics-and-analytics</w:t>
              </w:r>
            </w:hyperlink>
            <w:r w:rsidR="00523395">
              <w:rPr>
                <w:sz w:val="22"/>
                <w:szCs w:val="22"/>
              </w:rPr>
              <w:t>.</w:t>
            </w:r>
          </w:p>
          <w:p w:rsidR="00523395" w:rsidP="00A40CA1">
            <w:pPr>
              <w:rPr>
                <w:sz w:val="22"/>
                <w:szCs w:val="22"/>
              </w:rPr>
            </w:pPr>
          </w:p>
          <w:p w:rsidR="002B71D5" w:rsidP="002B71D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B71D5" w:rsidP="00DA7B44">
            <w:pPr>
              <w:rPr>
                <w:rStyle w:val="Hyperlink"/>
              </w:rPr>
            </w:pPr>
          </w:p>
          <w:p w:rsidR="002B71D5" w:rsidRPr="007475A1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B5"/>
    <w:rsid w:val="0002500C"/>
    <w:rsid w:val="000311FC"/>
    <w:rsid w:val="00040127"/>
    <w:rsid w:val="00065E2D"/>
    <w:rsid w:val="00071516"/>
    <w:rsid w:val="00072652"/>
    <w:rsid w:val="00081232"/>
    <w:rsid w:val="00091E65"/>
    <w:rsid w:val="00096D4A"/>
    <w:rsid w:val="000A38EA"/>
    <w:rsid w:val="000B7D4E"/>
    <w:rsid w:val="000C1E47"/>
    <w:rsid w:val="000C26F3"/>
    <w:rsid w:val="000C6C9E"/>
    <w:rsid w:val="000E049E"/>
    <w:rsid w:val="0010799B"/>
    <w:rsid w:val="00117DB2"/>
    <w:rsid w:val="00123ED2"/>
    <w:rsid w:val="00125BE0"/>
    <w:rsid w:val="00131419"/>
    <w:rsid w:val="00134A58"/>
    <w:rsid w:val="00142C13"/>
    <w:rsid w:val="00152776"/>
    <w:rsid w:val="00153222"/>
    <w:rsid w:val="00153B63"/>
    <w:rsid w:val="001549A0"/>
    <w:rsid w:val="001577D3"/>
    <w:rsid w:val="001733A6"/>
    <w:rsid w:val="001865A9"/>
    <w:rsid w:val="00187DB2"/>
    <w:rsid w:val="001B20BB"/>
    <w:rsid w:val="001C3072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7A18"/>
    <w:rsid w:val="00285C36"/>
    <w:rsid w:val="00294C0C"/>
    <w:rsid w:val="002A0934"/>
    <w:rsid w:val="002B1013"/>
    <w:rsid w:val="002B71D5"/>
    <w:rsid w:val="002D03E5"/>
    <w:rsid w:val="002E3F1D"/>
    <w:rsid w:val="002F259F"/>
    <w:rsid w:val="002F31D0"/>
    <w:rsid w:val="002F77DF"/>
    <w:rsid w:val="00300359"/>
    <w:rsid w:val="00313B72"/>
    <w:rsid w:val="0031773E"/>
    <w:rsid w:val="00333871"/>
    <w:rsid w:val="0034338B"/>
    <w:rsid w:val="00347716"/>
    <w:rsid w:val="003506E1"/>
    <w:rsid w:val="003727E3"/>
    <w:rsid w:val="00385A93"/>
    <w:rsid w:val="003910F1"/>
    <w:rsid w:val="00393F3C"/>
    <w:rsid w:val="003B0BAA"/>
    <w:rsid w:val="003E0D2F"/>
    <w:rsid w:val="003E42FC"/>
    <w:rsid w:val="003E5991"/>
    <w:rsid w:val="003F344A"/>
    <w:rsid w:val="00403FF0"/>
    <w:rsid w:val="004117E1"/>
    <w:rsid w:val="00413E12"/>
    <w:rsid w:val="0042046D"/>
    <w:rsid w:val="0042116E"/>
    <w:rsid w:val="00425AEF"/>
    <w:rsid w:val="00426518"/>
    <w:rsid w:val="00427B06"/>
    <w:rsid w:val="00436922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688"/>
    <w:rsid w:val="004D3D85"/>
    <w:rsid w:val="004E2BD8"/>
    <w:rsid w:val="004F0F1F"/>
    <w:rsid w:val="005022AA"/>
    <w:rsid w:val="00504845"/>
    <w:rsid w:val="0050757F"/>
    <w:rsid w:val="00516AD2"/>
    <w:rsid w:val="00523395"/>
    <w:rsid w:val="00536391"/>
    <w:rsid w:val="00541512"/>
    <w:rsid w:val="00545DAE"/>
    <w:rsid w:val="0056400A"/>
    <w:rsid w:val="00571B83"/>
    <w:rsid w:val="00575A00"/>
    <w:rsid w:val="0058673C"/>
    <w:rsid w:val="005A7972"/>
    <w:rsid w:val="005B17E7"/>
    <w:rsid w:val="005B2643"/>
    <w:rsid w:val="005D17FD"/>
    <w:rsid w:val="005E4B0A"/>
    <w:rsid w:val="005E654C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2024"/>
    <w:rsid w:val="006C33AF"/>
    <w:rsid w:val="006D5D22"/>
    <w:rsid w:val="006E0324"/>
    <w:rsid w:val="006E4A76"/>
    <w:rsid w:val="006F1DBD"/>
    <w:rsid w:val="00700556"/>
    <w:rsid w:val="0070589A"/>
    <w:rsid w:val="007167DD"/>
    <w:rsid w:val="00722F67"/>
    <w:rsid w:val="0072478B"/>
    <w:rsid w:val="0073414D"/>
    <w:rsid w:val="00742385"/>
    <w:rsid w:val="007475A1"/>
    <w:rsid w:val="0075235E"/>
    <w:rsid w:val="007528A5"/>
    <w:rsid w:val="00755E8F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5271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59E8"/>
    <w:rsid w:val="008F1609"/>
    <w:rsid w:val="008F1D29"/>
    <w:rsid w:val="008F78D8"/>
    <w:rsid w:val="009126B5"/>
    <w:rsid w:val="0093373C"/>
    <w:rsid w:val="00961620"/>
    <w:rsid w:val="009734B6"/>
    <w:rsid w:val="0098096F"/>
    <w:rsid w:val="0098330E"/>
    <w:rsid w:val="0098437A"/>
    <w:rsid w:val="00986C92"/>
    <w:rsid w:val="00993C47"/>
    <w:rsid w:val="009972BC"/>
    <w:rsid w:val="009B4B16"/>
    <w:rsid w:val="009E54A1"/>
    <w:rsid w:val="009F4E25"/>
    <w:rsid w:val="009F59D8"/>
    <w:rsid w:val="009F5B1F"/>
    <w:rsid w:val="00A225A9"/>
    <w:rsid w:val="00A3308E"/>
    <w:rsid w:val="00A35DFD"/>
    <w:rsid w:val="00A40CA1"/>
    <w:rsid w:val="00A575E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16BF"/>
    <w:rsid w:val="00AC44B3"/>
    <w:rsid w:val="00AC4E0E"/>
    <w:rsid w:val="00AC517B"/>
    <w:rsid w:val="00AD0D19"/>
    <w:rsid w:val="00AF051B"/>
    <w:rsid w:val="00B037A2"/>
    <w:rsid w:val="00B31870"/>
    <w:rsid w:val="00B320B8"/>
    <w:rsid w:val="00B34A81"/>
    <w:rsid w:val="00B35EE2"/>
    <w:rsid w:val="00B36DEF"/>
    <w:rsid w:val="00B57131"/>
    <w:rsid w:val="00B61477"/>
    <w:rsid w:val="00B62F2C"/>
    <w:rsid w:val="00B654FF"/>
    <w:rsid w:val="00B66AAD"/>
    <w:rsid w:val="00B727C9"/>
    <w:rsid w:val="00B735C8"/>
    <w:rsid w:val="00B76A63"/>
    <w:rsid w:val="00B92E76"/>
    <w:rsid w:val="00BA6350"/>
    <w:rsid w:val="00BB4E29"/>
    <w:rsid w:val="00BB74C9"/>
    <w:rsid w:val="00BC3AB6"/>
    <w:rsid w:val="00BD19E8"/>
    <w:rsid w:val="00BD4273"/>
    <w:rsid w:val="00C31ED8"/>
    <w:rsid w:val="00C432E4"/>
    <w:rsid w:val="00C46D58"/>
    <w:rsid w:val="00C70C26"/>
    <w:rsid w:val="00C72001"/>
    <w:rsid w:val="00C772B7"/>
    <w:rsid w:val="00C80347"/>
    <w:rsid w:val="00C90561"/>
    <w:rsid w:val="00CB7C1A"/>
    <w:rsid w:val="00CC5E08"/>
    <w:rsid w:val="00CE14FD"/>
    <w:rsid w:val="00CF45F7"/>
    <w:rsid w:val="00CF6860"/>
    <w:rsid w:val="00D02AC6"/>
    <w:rsid w:val="00D03F0C"/>
    <w:rsid w:val="00D04312"/>
    <w:rsid w:val="00D16A7F"/>
    <w:rsid w:val="00D16AD2"/>
    <w:rsid w:val="00D2159E"/>
    <w:rsid w:val="00D22596"/>
    <w:rsid w:val="00D22691"/>
    <w:rsid w:val="00D24C3D"/>
    <w:rsid w:val="00D46CB1"/>
    <w:rsid w:val="00D723F0"/>
    <w:rsid w:val="00D74E17"/>
    <w:rsid w:val="00D757EE"/>
    <w:rsid w:val="00D8133F"/>
    <w:rsid w:val="00D861EE"/>
    <w:rsid w:val="00D95B05"/>
    <w:rsid w:val="00D97E2D"/>
    <w:rsid w:val="00DA103D"/>
    <w:rsid w:val="00DA45D3"/>
    <w:rsid w:val="00DA4772"/>
    <w:rsid w:val="00DA7B44"/>
    <w:rsid w:val="00DB1C91"/>
    <w:rsid w:val="00DB2667"/>
    <w:rsid w:val="00DB67B7"/>
    <w:rsid w:val="00DC15A9"/>
    <w:rsid w:val="00DC40AA"/>
    <w:rsid w:val="00DD1750"/>
    <w:rsid w:val="00E12608"/>
    <w:rsid w:val="00E220F6"/>
    <w:rsid w:val="00E349AA"/>
    <w:rsid w:val="00E41390"/>
    <w:rsid w:val="00E41CA0"/>
    <w:rsid w:val="00E4366B"/>
    <w:rsid w:val="00E50A4A"/>
    <w:rsid w:val="00E606DE"/>
    <w:rsid w:val="00E644FE"/>
    <w:rsid w:val="00E677B2"/>
    <w:rsid w:val="00E72733"/>
    <w:rsid w:val="00E742FA"/>
    <w:rsid w:val="00E76816"/>
    <w:rsid w:val="00E83DBF"/>
    <w:rsid w:val="00E87C13"/>
    <w:rsid w:val="00E94CD9"/>
    <w:rsid w:val="00EA1A76"/>
    <w:rsid w:val="00EA290B"/>
    <w:rsid w:val="00EA342C"/>
    <w:rsid w:val="00EB4F33"/>
    <w:rsid w:val="00EE0E90"/>
    <w:rsid w:val="00EF3BCA"/>
    <w:rsid w:val="00EF6E7C"/>
    <w:rsid w:val="00EF729B"/>
    <w:rsid w:val="00F01B0D"/>
    <w:rsid w:val="00F1238F"/>
    <w:rsid w:val="00F163CC"/>
    <w:rsid w:val="00F16485"/>
    <w:rsid w:val="00F228ED"/>
    <w:rsid w:val="00F23E17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11EE"/>
    <w:rsid w:val="00FB2497"/>
    <w:rsid w:val="00FC6C29"/>
    <w:rsid w:val="00FD58E0"/>
    <w:rsid w:val="00FD71AE"/>
    <w:rsid w:val="00FE0198"/>
    <w:rsid w:val="00FE3A7C"/>
    <w:rsid w:val="00FF1C0B"/>
    <w:rsid w:val="00FF232D"/>
    <w:rsid w:val="00FF28C0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D81EA8-4A9E-44F7-A6B6-7D11965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5E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B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B0A"/>
    <w:rPr>
      <w:b/>
      <w:bCs/>
    </w:rPr>
  </w:style>
  <w:style w:type="character" w:customStyle="1" w:styleId="UnresolvedMention">
    <w:name w:val="Unresolved Mention"/>
    <w:basedOn w:val="DefaultParagraphFont"/>
    <w:rsid w:val="0052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58298A1.pdf" TargetMode="External" /><Relationship Id="rId6" Type="http://schemas.openxmlformats.org/officeDocument/2006/relationships/hyperlink" Target="https://www.fcc.gov/economics-and-analytic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