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BA19361" w14:textId="77777777" w:rsidTr="006D5D22">
        <w:tblPrEx>
          <w:tblW w:w="0" w:type="auto"/>
          <w:tblLook w:val="0000"/>
        </w:tblPrEx>
        <w:trPr>
          <w:trHeight w:val="2181"/>
        </w:trPr>
        <w:tc>
          <w:tcPr>
            <w:tcW w:w="8856" w:type="dxa"/>
          </w:tcPr>
          <w:p w:rsidR="00FF232D" w:rsidP="006A7D75" w14:paraId="2A83B70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71818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105AD6" w14:textId="77777777">
            <w:pPr>
              <w:rPr>
                <w:b/>
                <w:bCs/>
                <w:sz w:val="12"/>
                <w:szCs w:val="12"/>
              </w:rPr>
            </w:pPr>
          </w:p>
          <w:p w:rsidR="007A44F8" w:rsidRPr="008A3940" w:rsidP="00BB4E29" w14:paraId="0079836F" w14:textId="77777777">
            <w:pPr>
              <w:rPr>
                <w:b/>
                <w:bCs/>
                <w:sz w:val="22"/>
                <w:szCs w:val="22"/>
              </w:rPr>
            </w:pPr>
            <w:r w:rsidRPr="008A3940">
              <w:rPr>
                <w:b/>
                <w:bCs/>
                <w:sz w:val="22"/>
                <w:szCs w:val="22"/>
              </w:rPr>
              <w:t xml:space="preserve">Media Contact: </w:t>
            </w:r>
          </w:p>
          <w:p w:rsidR="007A44F8" w:rsidRPr="008A3940" w:rsidP="00BB4E29" w14:paraId="50B3FBEF"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sidR="006666D0">
              <w:rPr>
                <w:bCs/>
                <w:sz w:val="22"/>
                <w:szCs w:val="22"/>
              </w:rPr>
              <w:t>253</w:t>
            </w:r>
          </w:p>
          <w:p w:rsidR="00FF232D" w:rsidRPr="008A3940" w:rsidP="00BB4E29" w14:paraId="23D4EC06"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3A6F6C36" w14:textId="77777777">
            <w:pPr>
              <w:rPr>
                <w:bCs/>
                <w:sz w:val="22"/>
                <w:szCs w:val="22"/>
              </w:rPr>
            </w:pPr>
          </w:p>
          <w:p w:rsidR="007A44F8" w:rsidRPr="008A3940" w:rsidP="00BB4E29" w14:paraId="5F9718C6" w14:textId="77777777">
            <w:pPr>
              <w:rPr>
                <w:b/>
                <w:sz w:val="22"/>
                <w:szCs w:val="22"/>
              </w:rPr>
            </w:pPr>
            <w:r w:rsidRPr="008A3940">
              <w:rPr>
                <w:b/>
                <w:sz w:val="22"/>
                <w:szCs w:val="22"/>
              </w:rPr>
              <w:t>For Immediate Release</w:t>
            </w:r>
          </w:p>
          <w:p w:rsidR="007A44F8" w:rsidRPr="004A729A" w:rsidP="00BB4E29" w14:paraId="429E56DF" w14:textId="77777777">
            <w:pPr>
              <w:jc w:val="center"/>
              <w:rPr>
                <w:b/>
                <w:bCs/>
                <w:sz w:val="22"/>
                <w:szCs w:val="22"/>
              </w:rPr>
            </w:pPr>
          </w:p>
          <w:p w:rsidR="000E049E" w:rsidP="00D861EE" w14:paraId="4F7774EA" w14:textId="12CBFE22">
            <w:pPr>
              <w:tabs>
                <w:tab w:val="left" w:pos="8625"/>
              </w:tabs>
              <w:spacing w:after="120"/>
              <w:jc w:val="center"/>
              <w:rPr>
                <w:b/>
                <w:bCs/>
                <w:sz w:val="26"/>
                <w:szCs w:val="26"/>
              </w:rPr>
            </w:pPr>
            <w:r w:rsidRPr="000E049E">
              <w:rPr>
                <w:b/>
                <w:bCs/>
                <w:sz w:val="26"/>
                <w:szCs w:val="26"/>
              </w:rPr>
              <w:t xml:space="preserve">FCC </w:t>
            </w:r>
            <w:r w:rsidR="003678F0">
              <w:rPr>
                <w:b/>
                <w:bCs/>
                <w:sz w:val="26"/>
                <w:szCs w:val="26"/>
              </w:rPr>
              <w:t xml:space="preserve">ELIMINATES UNNECESSARY REGULATION OF LEGACY PHONE COMPANY </w:t>
            </w:r>
            <w:r w:rsidR="00C869D2">
              <w:rPr>
                <w:b/>
                <w:bCs/>
                <w:sz w:val="26"/>
                <w:szCs w:val="26"/>
              </w:rPr>
              <w:t>TRAN</w:t>
            </w:r>
            <w:r w:rsidR="003678F0">
              <w:rPr>
                <w:b/>
                <w:bCs/>
                <w:sz w:val="26"/>
                <w:szCs w:val="26"/>
              </w:rPr>
              <w:t>S</w:t>
            </w:r>
            <w:r w:rsidR="00C869D2">
              <w:rPr>
                <w:b/>
                <w:bCs/>
                <w:sz w:val="26"/>
                <w:szCs w:val="26"/>
              </w:rPr>
              <w:t>PORT</w:t>
            </w:r>
            <w:r w:rsidR="003678F0">
              <w:rPr>
                <w:b/>
                <w:bCs/>
                <w:sz w:val="26"/>
                <w:szCs w:val="26"/>
              </w:rPr>
              <w:t xml:space="preserve"> </w:t>
            </w:r>
            <w:r w:rsidR="00D42B07">
              <w:rPr>
                <w:b/>
                <w:bCs/>
                <w:sz w:val="26"/>
                <w:szCs w:val="26"/>
              </w:rPr>
              <w:t>SERVICES AND FACILITIES</w:t>
            </w:r>
          </w:p>
          <w:p w:rsidR="00C869D2" w:rsidRPr="007E3F56" w:rsidP="007E3F56" w14:paraId="34CD0EEC" w14:textId="52DA85FA">
            <w:pPr>
              <w:tabs>
                <w:tab w:val="left" w:pos="8625"/>
              </w:tabs>
              <w:jc w:val="center"/>
              <w:rPr>
                <w:b/>
                <w:bCs/>
                <w:i/>
              </w:rPr>
            </w:pPr>
            <w:r>
              <w:rPr>
                <w:b/>
                <w:bCs/>
                <w:i/>
              </w:rPr>
              <w:t xml:space="preserve">Action Will Spur Competition and Investment in </w:t>
            </w:r>
            <w:r w:rsidR="00D42B07">
              <w:rPr>
                <w:b/>
                <w:bCs/>
                <w:i/>
              </w:rPr>
              <w:t xml:space="preserve">Next-Generation </w:t>
            </w:r>
            <w:r>
              <w:rPr>
                <w:b/>
                <w:bCs/>
                <w:i/>
              </w:rPr>
              <w:t>Networks</w:t>
            </w:r>
          </w:p>
          <w:p w:rsidR="00F61155" w:rsidRPr="006B0A70" w:rsidP="00BB4E29" w14:paraId="39C24C6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A7F23" w:rsidP="009C5362" w14:paraId="6DF8D424" w14:textId="76345698">
            <w:pPr>
              <w:tabs>
                <w:tab w:val="left" w:pos="8640"/>
              </w:tabs>
              <w:rPr>
                <w:sz w:val="22"/>
                <w:szCs w:val="22"/>
              </w:rPr>
            </w:pPr>
            <w:r w:rsidRPr="008A3940">
              <w:rPr>
                <w:sz w:val="22"/>
                <w:szCs w:val="22"/>
              </w:rPr>
              <w:t xml:space="preserve">WASHINGTON, </w:t>
            </w:r>
            <w:r w:rsidR="00554CDD">
              <w:rPr>
                <w:sz w:val="22"/>
                <w:szCs w:val="22"/>
              </w:rPr>
              <w:t>July 1</w:t>
            </w:r>
            <w:r w:rsidR="00EB3CD2">
              <w:rPr>
                <w:sz w:val="22"/>
                <w:szCs w:val="22"/>
              </w:rPr>
              <w:t>0</w:t>
            </w:r>
            <w:r w:rsidR="00554CDD">
              <w:rPr>
                <w:sz w:val="22"/>
                <w:szCs w:val="22"/>
              </w:rPr>
              <w:t xml:space="preserve">, </w:t>
            </w:r>
            <w:r w:rsidR="00065E2D">
              <w:rPr>
                <w:sz w:val="22"/>
                <w:szCs w:val="22"/>
              </w:rPr>
              <w:t>201</w:t>
            </w:r>
            <w:r w:rsidR="007475A1">
              <w:rPr>
                <w:sz w:val="22"/>
                <w:szCs w:val="22"/>
              </w:rPr>
              <w:t>9</w:t>
            </w:r>
            <w:r w:rsidR="00D861EE">
              <w:rPr>
                <w:sz w:val="22"/>
                <w:szCs w:val="22"/>
              </w:rPr>
              <w:t>—</w:t>
            </w:r>
            <w:r w:rsidR="0091294D">
              <w:rPr>
                <w:sz w:val="22"/>
                <w:szCs w:val="22"/>
              </w:rPr>
              <w:t xml:space="preserve">In light of increasing competition in the marketplace for transport services, the Federal Communications Commission today </w:t>
            </w:r>
            <w:r w:rsidR="00540947">
              <w:rPr>
                <w:sz w:val="22"/>
                <w:szCs w:val="22"/>
              </w:rPr>
              <w:t xml:space="preserve">largely </w:t>
            </w:r>
            <w:r>
              <w:rPr>
                <w:sz w:val="22"/>
                <w:szCs w:val="22"/>
              </w:rPr>
              <w:t>eliminat</w:t>
            </w:r>
            <w:r w:rsidR="0091294D">
              <w:rPr>
                <w:sz w:val="22"/>
                <w:szCs w:val="22"/>
              </w:rPr>
              <w:t>ed</w:t>
            </w:r>
            <w:r>
              <w:rPr>
                <w:sz w:val="22"/>
                <w:szCs w:val="22"/>
              </w:rPr>
              <w:t xml:space="preserve"> pricing regulation of </w:t>
            </w:r>
            <w:r w:rsidR="005009AD">
              <w:rPr>
                <w:sz w:val="22"/>
                <w:szCs w:val="22"/>
              </w:rPr>
              <w:t>lower</w:t>
            </w:r>
            <w:r w:rsidR="004E1AAF">
              <w:rPr>
                <w:sz w:val="22"/>
                <w:szCs w:val="22"/>
              </w:rPr>
              <w:t>-</w:t>
            </w:r>
            <w:r w:rsidR="005009AD">
              <w:rPr>
                <w:sz w:val="22"/>
                <w:szCs w:val="22"/>
              </w:rPr>
              <w:t>speed</w:t>
            </w:r>
            <w:r w:rsidR="0091294D">
              <w:rPr>
                <w:sz w:val="22"/>
                <w:szCs w:val="22"/>
              </w:rPr>
              <w:t>, legacy</w:t>
            </w:r>
            <w:r w:rsidR="005009AD">
              <w:rPr>
                <w:sz w:val="22"/>
                <w:szCs w:val="22"/>
              </w:rPr>
              <w:t xml:space="preserve"> </w:t>
            </w:r>
            <w:r>
              <w:rPr>
                <w:sz w:val="22"/>
                <w:szCs w:val="22"/>
              </w:rPr>
              <w:t xml:space="preserve">transport </w:t>
            </w:r>
            <w:r w:rsidR="005009AD">
              <w:rPr>
                <w:sz w:val="22"/>
                <w:szCs w:val="22"/>
              </w:rPr>
              <w:t xml:space="preserve">offered by price cap </w:t>
            </w:r>
            <w:r w:rsidR="0091294D">
              <w:rPr>
                <w:sz w:val="22"/>
                <w:szCs w:val="22"/>
              </w:rPr>
              <w:t xml:space="preserve">incumbent </w:t>
            </w:r>
            <w:r w:rsidR="005009AD">
              <w:rPr>
                <w:sz w:val="22"/>
                <w:szCs w:val="22"/>
              </w:rPr>
              <w:t>carriers</w:t>
            </w:r>
            <w:r w:rsidR="00210F9D">
              <w:rPr>
                <w:sz w:val="22"/>
                <w:szCs w:val="22"/>
              </w:rPr>
              <w:t xml:space="preserve"> </w:t>
            </w:r>
            <w:r w:rsidR="00112184">
              <w:rPr>
                <w:sz w:val="22"/>
                <w:szCs w:val="22"/>
              </w:rPr>
              <w:t xml:space="preserve">as part of their commercially available business data services or as unbundled network elements.  </w:t>
            </w:r>
          </w:p>
          <w:p w:rsidR="00C94566" w:rsidP="009C5362" w14:paraId="7DEF5E0A" w14:textId="77777777">
            <w:pPr>
              <w:tabs>
                <w:tab w:val="left" w:pos="8640"/>
              </w:tabs>
              <w:rPr>
                <w:sz w:val="22"/>
                <w:szCs w:val="22"/>
              </w:rPr>
            </w:pPr>
          </w:p>
          <w:p w:rsidR="003D3AC4" w:rsidRPr="00CA7F23" w:rsidP="003D3AC4" w14:paraId="7C04D559" w14:textId="13215D8C">
            <w:pPr>
              <w:rPr>
                <w:rFonts w:eastAsiaTheme="minorEastAsia"/>
                <w:b/>
                <w:bCs/>
                <w:sz w:val="22"/>
                <w:szCs w:val="22"/>
              </w:rPr>
            </w:pPr>
            <w:r>
              <w:rPr>
                <w:rFonts w:eastAsiaTheme="minorEastAsia"/>
                <w:bCs/>
                <w:sz w:val="22"/>
                <w:szCs w:val="22"/>
              </w:rPr>
              <w:t xml:space="preserve">Used largely by businesses, institutions, and communications providers, </w:t>
            </w:r>
            <w:r w:rsidR="00112184">
              <w:rPr>
                <w:rFonts w:eastAsiaTheme="minorEastAsia"/>
                <w:bCs/>
                <w:sz w:val="22"/>
                <w:szCs w:val="22"/>
              </w:rPr>
              <w:t xml:space="preserve">business data services </w:t>
            </w:r>
            <w:r>
              <w:rPr>
                <w:rFonts w:eastAsiaTheme="minorEastAsia"/>
                <w:bCs/>
                <w:sz w:val="22"/>
                <w:szCs w:val="22"/>
              </w:rPr>
              <w:t>t</w:t>
            </w:r>
            <w:r w:rsidRPr="00CA7F23" w:rsidR="00CA7F23">
              <w:rPr>
                <w:rFonts w:eastAsiaTheme="minorEastAsia"/>
                <w:bCs/>
                <w:sz w:val="22"/>
                <w:szCs w:val="22"/>
              </w:rPr>
              <w:t>ransport</w:t>
            </w:r>
            <w:r w:rsidR="0000422A">
              <w:rPr>
                <w:rFonts w:eastAsiaTheme="minorEastAsia"/>
                <w:bCs/>
                <w:sz w:val="22"/>
                <w:szCs w:val="22"/>
              </w:rPr>
              <w:t xml:space="preserve"> </w:t>
            </w:r>
            <w:r w:rsidRPr="00CA7F23" w:rsidR="00CA7F23">
              <w:rPr>
                <w:rFonts w:eastAsiaTheme="minorEastAsia"/>
                <w:bCs/>
                <w:sz w:val="22"/>
                <w:szCs w:val="22"/>
              </w:rPr>
              <w:t xml:space="preserve">carries </w:t>
            </w:r>
            <w:r w:rsidR="00C94566">
              <w:rPr>
                <w:rFonts w:eastAsiaTheme="minorEastAsia"/>
                <w:bCs/>
                <w:sz w:val="22"/>
                <w:szCs w:val="22"/>
              </w:rPr>
              <w:t xml:space="preserve">voice and data </w:t>
            </w:r>
            <w:r w:rsidRPr="00CA7F23" w:rsidR="00CA7F23">
              <w:rPr>
                <w:rFonts w:eastAsiaTheme="minorEastAsia"/>
                <w:bCs/>
                <w:sz w:val="22"/>
                <w:szCs w:val="22"/>
              </w:rPr>
              <w:t>traffic from one point of traffic concentration to another</w:t>
            </w:r>
            <w:r w:rsidR="0013273A">
              <w:rPr>
                <w:rFonts w:eastAsiaTheme="minorEastAsia"/>
                <w:bCs/>
                <w:sz w:val="22"/>
                <w:szCs w:val="22"/>
              </w:rPr>
              <w:t xml:space="preserve">.  </w:t>
            </w:r>
            <w:r w:rsidR="00DC39E1">
              <w:rPr>
                <w:rFonts w:eastAsiaTheme="minorEastAsia"/>
                <w:bCs/>
                <w:sz w:val="22"/>
                <w:szCs w:val="22"/>
              </w:rPr>
              <w:t>The cost of c</w:t>
            </w:r>
            <w:r w:rsidRPr="00CA7F23" w:rsidR="00CA7F23">
              <w:rPr>
                <w:rFonts w:eastAsiaTheme="minorEastAsia"/>
                <w:bCs/>
                <w:sz w:val="22"/>
                <w:szCs w:val="22"/>
              </w:rPr>
              <w:t>ompetitive entry into the market for transport i</w:t>
            </w:r>
            <w:r w:rsidR="00DC39E1">
              <w:rPr>
                <w:rFonts w:eastAsiaTheme="minorEastAsia"/>
                <w:bCs/>
                <w:sz w:val="22"/>
                <w:szCs w:val="22"/>
              </w:rPr>
              <w:t>s low</w:t>
            </w:r>
            <w:r w:rsidRPr="00CA7F23" w:rsidR="00CA7F23">
              <w:rPr>
                <w:rFonts w:eastAsiaTheme="minorEastAsia"/>
                <w:bCs/>
                <w:sz w:val="22"/>
                <w:szCs w:val="22"/>
              </w:rPr>
              <w:t xml:space="preserve"> because </w:t>
            </w:r>
            <w:r w:rsidR="00DC39E1">
              <w:rPr>
                <w:rFonts w:eastAsiaTheme="minorEastAsia"/>
                <w:bCs/>
                <w:sz w:val="22"/>
                <w:szCs w:val="22"/>
              </w:rPr>
              <w:t>of the larger volume of traffic</w:t>
            </w:r>
            <w:r w:rsidRPr="00CA7F23" w:rsidR="00CA7F23">
              <w:rPr>
                <w:rFonts w:eastAsiaTheme="minorEastAsia"/>
                <w:bCs/>
                <w:sz w:val="22"/>
                <w:szCs w:val="22"/>
              </w:rPr>
              <w:t xml:space="preserve">. </w:t>
            </w:r>
            <w:r w:rsidR="00112184">
              <w:rPr>
                <w:rFonts w:eastAsiaTheme="minorEastAsia"/>
                <w:bCs/>
                <w:sz w:val="22"/>
                <w:szCs w:val="22"/>
              </w:rPr>
              <w:t xml:space="preserve"> </w:t>
            </w:r>
            <w:r w:rsidR="0013273A">
              <w:rPr>
                <w:rFonts w:eastAsiaTheme="minorEastAsia"/>
                <w:bCs/>
                <w:sz w:val="22"/>
                <w:szCs w:val="22"/>
              </w:rPr>
              <w:t xml:space="preserve">This market reality, coupled with the growth in demand for transport in our increasingly digital world, has fueled competition in the transport marketplace.  </w:t>
            </w:r>
            <w:r w:rsidR="00112184">
              <w:rPr>
                <w:rFonts w:eastAsiaTheme="minorEastAsia"/>
                <w:bCs/>
                <w:sz w:val="22"/>
                <w:szCs w:val="22"/>
              </w:rPr>
              <w:t xml:space="preserve">The data shows that </w:t>
            </w:r>
            <w:r w:rsidRPr="00CA7F23">
              <w:rPr>
                <w:rFonts w:eastAsiaTheme="minorEastAsia"/>
                <w:bCs/>
                <w:sz w:val="22"/>
                <w:szCs w:val="22"/>
              </w:rPr>
              <w:t>the</w:t>
            </w:r>
            <w:r w:rsidR="0035571C">
              <w:rPr>
                <w:rFonts w:eastAsiaTheme="minorEastAsia"/>
                <w:bCs/>
                <w:sz w:val="22"/>
                <w:szCs w:val="22"/>
              </w:rPr>
              <w:t xml:space="preserve"> vast majority of locations with demand for business data services are in </w:t>
            </w:r>
            <w:r w:rsidR="00C54427">
              <w:rPr>
                <w:rFonts w:eastAsiaTheme="minorEastAsia"/>
                <w:bCs/>
                <w:sz w:val="22"/>
                <w:szCs w:val="22"/>
              </w:rPr>
              <w:t xml:space="preserve">areas also </w:t>
            </w:r>
            <w:r w:rsidR="0035571C">
              <w:rPr>
                <w:rFonts w:eastAsiaTheme="minorEastAsia"/>
                <w:bCs/>
                <w:sz w:val="22"/>
                <w:szCs w:val="22"/>
              </w:rPr>
              <w:t>served by competitors</w:t>
            </w:r>
            <w:r w:rsidR="00C54427">
              <w:rPr>
                <w:rFonts w:eastAsiaTheme="minorEastAsia"/>
                <w:bCs/>
                <w:sz w:val="22"/>
                <w:szCs w:val="22"/>
              </w:rPr>
              <w:t xml:space="preserve"> </w:t>
            </w:r>
            <w:r w:rsidR="004E1AAF">
              <w:rPr>
                <w:rFonts w:eastAsiaTheme="minorEastAsia"/>
                <w:bCs/>
                <w:sz w:val="22"/>
                <w:szCs w:val="22"/>
              </w:rPr>
              <w:t xml:space="preserve">to the price cap incumbent carrier, </w:t>
            </w:r>
            <w:r w:rsidR="00C54427">
              <w:rPr>
                <w:rFonts w:eastAsiaTheme="minorEastAsia"/>
                <w:bCs/>
                <w:sz w:val="22"/>
                <w:szCs w:val="22"/>
              </w:rPr>
              <w:t xml:space="preserve">and that cable companies are increasingly competing with </w:t>
            </w:r>
            <w:r w:rsidR="0013273A">
              <w:rPr>
                <w:rFonts w:eastAsiaTheme="minorEastAsia"/>
                <w:bCs/>
                <w:sz w:val="22"/>
                <w:szCs w:val="22"/>
              </w:rPr>
              <w:t xml:space="preserve">price cap </w:t>
            </w:r>
            <w:r w:rsidR="00C54427">
              <w:rPr>
                <w:rFonts w:eastAsiaTheme="minorEastAsia"/>
                <w:bCs/>
                <w:sz w:val="22"/>
                <w:szCs w:val="22"/>
              </w:rPr>
              <w:t xml:space="preserve">carriers’ transport offerings. </w:t>
            </w:r>
          </w:p>
          <w:p w:rsidR="003D3AC4" w:rsidP="003D3AC4" w14:paraId="6079C339" w14:textId="77777777">
            <w:pPr>
              <w:tabs>
                <w:tab w:val="left" w:pos="8640"/>
              </w:tabs>
              <w:rPr>
                <w:sz w:val="22"/>
                <w:szCs w:val="22"/>
              </w:rPr>
            </w:pPr>
          </w:p>
          <w:p w:rsidR="00CA7F23" w:rsidRPr="00F24567" w:rsidP="009C5362" w14:paraId="3A434058" w14:textId="2E1A52D7">
            <w:pPr>
              <w:tabs>
                <w:tab w:val="left" w:pos="8640"/>
              </w:tabs>
              <w:rPr>
                <w:sz w:val="22"/>
                <w:szCs w:val="22"/>
              </w:rPr>
            </w:pPr>
            <w:r>
              <w:rPr>
                <w:sz w:val="22"/>
                <w:szCs w:val="22"/>
              </w:rPr>
              <w:t>Given this competition, the FCC c</w:t>
            </w:r>
            <w:r>
              <w:rPr>
                <w:sz w:val="22"/>
                <w:szCs w:val="22"/>
              </w:rPr>
              <w:t>ontinu</w:t>
            </w:r>
            <w:r>
              <w:rPr>
                <w:sz w:val="22"/>
                <w:szCs w:val="22"/>
              </w:rPr>
              <w:t>ed</w:t>
            </w:r>
            <w:r>
              <w:rPr>
                <w:sz w:val="22"/>
                <w:szCs w:val="22"/>
              </w:rPr>
              <w:t xml:space="preserve"> its push to eliminate needless </w:t>
            </w:r>
            <w:r w:rsidR="001352AB">
              <w:rPr>
                <w:sz w:val="22"/>
                <w:szCs w:val="22"/>
              </w:rPr>
              <w:t xml:space="preserve">and burdensome </w:t>
            </w:r>
            <w:r>
              <w:rPr>
                <w:sz w:val="22"/>
                <w:szCs w:val="22"/>
              </w:rPr>
              <w:t>regulation</w:t>
            </w:r>
            <w:r w:rsidR="00292CBA">
              <w:rPr>
                <w:sz w:val="22"/>
                <w:szCs w:val="22"/>
              </w:rPr>
              <w:t xml:space="preserve"> and incentivize investment in modern </w:t>
            </w:r>
            <w:r w:rsidRPr="00F24567" w:rsidR="00292CBA">
              <w:rPr>
                <w:sz w:val="22"/>
                <w:szCs w:val="22"/>
              </w:rPr>
              <w:t>networks</w:t>
            </w:r>
            <w:r>
              <w:rPr>
                <w:sz w:val="22"/>
                <w:szCs w:val="22"/>
              </w:rPr>
              <w:t xml:space="preserve"> by adopting a two-part item that </w:t>
            </w:r>
            <w:r w:rsidR="00A42351">
              <w:rPr>
                <w:sz w:val="22"/>
                <w:szCs w:val="22"/>
              </w:rPr>
              <w:t>provides the following</w:t>
            </w:r>
            <w:r w:rsidR="00540947">
              <w:rPr>
                <w:sz w:val="22"/>
                <w:szCs w:val="22"/>
              </w:rPr>
              <w:t xml:space="preserve"> regulatory</w:t>
            </w:r>
            <w:r w:rsidR="00A42351">
              <w:rPr>
                <w:sz w:val="22"/>
                <w:szCs w:val="22"/>
              </w:rPr>
              <w:t xml:space="preserve"> relief for price cap carriers</w:t>
            </w:r>
            <w:r>
              <w:rPr>
                <w:sz w:val="22"/>
                <w:szCs w:val="22"/>
              </w:rPr>
              <w:t>’ transport services and facilities</w:t>
            </w:r>
            <w:r w:rsidR="00A42351">
              <w:rPr>
                <w:sz w:val="22"/>
                <w:szCs w:val="22"/>
              </w:rPr>
              <w:t xml:space="preserve">: </w:t>
            </w:r>
          </w:p>
          <w:p w:rsidR="008411E4" w:rsidRPr="00F24567" w:rsidP="00F24567" w14:paraId="41083341" w14:textId="77777777">
            <w:pPr>
              <w:pStyle w:val="ListParagraph"/>
              <w:tabs>
                <w:tab w:val="left" w:pos="8640"/>
              </w:tabs>
            </w:pPr>
          </w:p>
          <w:p w:rsidR="001D4066" w:rsidRPr="009F234B" w:rsidP="009F234B" w14:paraId="76223FFC" w14:textId="4C03708E">
            <w:pPr>
              <w:pStyle w:val="ListParagraph"/>
              <w:numPr>
                <w:ilvl w:val="0"/>
                <w:numId w:val="8"/>
              </w:numPr>
              <w:tabs>
                <w:tab w:val="left" w:pos="8640"/>
              </w:tabs>
              <w:rPr>
                <w:sz w:val="22"/>
                <w:szCs w:val="22"/>
              </w:rPr>
            </w:pPr>
            <w:r w:rsidRPr="00C57C99">
              <w:rPr>
                <w:sz w:val="22"/>
                <w:szCs w:val="22"/>
              </w:rPr>
              <w:t xml:space="preserve">The Report and Order on Remand section of the item affirms the Commission’s previous findings </w:t>
            </w:r>
            <w:r w:rsidR="00B36DE8">
              <w:rPr>
                <w:sz w:val="22"/>
                <w:szCs w:val="22"/>
              </w:rPr>
              <w:t xml:space="preserve">in the 2017 </w:t>
            </w:r>
            <w:r w:rsidRPr="00B36DE8" w:rsidR="00B36DE8">
              <w:rPr>
                <w:i/>
                <w:sz w:val="22"/>
                <w:szCs w:val="22"/>
              </w:rPr>
              <w:t>BDS Order</w:t>
            </w:r>
            <w:r w:rsidR="00B36DE8">
              <w:rPr>
                <w:sz w:val="22"/>
                <w:szCs w:val="22"/>
              </w:rPr>
              <w:t xml:space="preserve"> </w:t>
            </w:r>
            <w:r w:rsidRPr="00C57C99">
              <w:rPr>
                <w:sz w:val="22"/>
                <w:szCs w:val="22"/>
              </w:rPr>
              <w:t xml:space="preserve">that widespread and ever-increasing competition in the supply of </w:t>
            </w:r>
            <w:r w:rsidR="004E1AAF">
              <w:rPr>
                <w:sz w:val="22"/>
                <w:szCs w:val="22"/>
              </w:rPr>
              <w:t>b</w:t>
            </w:r>
            <w:r w:rsidRPr="00C57C99" w:rsidR="00F24567">
              <w:rPr>
                <w:sz w:val="22"/>
                <w:szCs w:val="22"/>
              </w:rPr>
              <w:t xml:space="preserve">usiness </w:t>
            </w:r>
            <w:r w:rsidR="004E1AAF">
              <w:rPr>
                <w:sz w:val="22"/>
                <w:szCs w:val="22"/>
              </w:rPr>
              <w:t>d</w:t>
            </w:r>
            <w:r w:rsidRPr="00C57C99" w:rsidR="00F24567">
              <w:rPr>
                <w:sz w:val="22"/>
                <w:szCs w:val="22"/>
              </w:rPr>
              <w:t xml:space="preserve">ata </w:t>
            </w:r>
            <w:r w:rsidR="004E1AAF">
              <w:rPr>
                <w:sz w:val="22"/>
                <w:szCs w:val="22"/>
              </w:rPr>
              <w:t>s</w:t>
            </w:r>
            <w:r w:rsidRPr="00C57C99" w:rsidR="00F24567">
              <w:rPr>
                <w:sz w:val="22"/>
                <w:szCs w:val="22"/>
              </w:rPr>
              <w:t>ervices</w:t>
            </w:r>
            <w:r w:rsidRPr="00C57C99" w:rsidR="00540947">
              <w:rPr>
                <w:sz w:val="22"/>
                <w:szCs w:val="22"/>
              </w:rPr>
              <w:t xml:space="preserve"> transport</w:t>
            </w:r>
            <w:r w:rsidRPr="00C57C99" w:rsidR="00F24567">
              <w:rPr>
                <w:sz w:val="22"/>
                <w:szCs w:val="22"/>
              </w:rPr>
              <w:t xml:space="preserve"> </w:t>
            </w:r>
            <w:r w:rsidRPr="00C57C99">
              <w:rPr>
                <w:sz w:val="22"/>
                <w:szCs w:val="22"/>
              </w:rPr>
              <w:t xml:space="preserve">justifies relieving price cap carriers of ex ante pricing regulation and tariffing of their </w:t>
            </w:r>
            <w:r w:rsidR="004E1AAF">
              <w:rPr>
                <w:sz w:val="22"/>
                <w:szCs w:val="22"/>
              </w:rPr>
              <w:t xml:space="preserve">lower-speed, </w:t>
            </w:r>
            <w:r w:rsidRPr="00C57C99" w:rsidR="00540947">
              <w:rPr>
                <w:sz w:val="22"/>
                <w:szCs w:val="22"/>
              </w:rPr>
              <w:t xml:space="preserve">legacy </w:t>
            </w:r>
            <w:r w:rsidR="004E1AAF">
              <w:rPr>
                <w:sz w:val="22"/>
                <w:szCs w:val="22"/>
              </w:rPr>
              <w:t xml:space="preserve">business data services </w:t>
            </w:r>
            <w:r w:rsidRPr="00C57C99">
              <w:rPr>
                <w:sz w:val="22"/>
                <w:szCs w:val="22"/>
              </w:rPr>
              <w:t xml:space="preserve">transport services nationwide. </w:t>
            </w:r>
          </w:p>
          <w:p w:rsidR="00575E30" w:rsidRPr="009F234B" w:rsidP="009F234B" w14:paraId="532C9D81" w14:textId="438CAE4C">
            <w:pPr>
              <w:pStyle w:val="ListParagraph"/>
              <w:numPr>
                <w:ilvl w:val="1"/>
                <w:numId w:val="8"/>
              </w:numPr>
              <w:tabs>
                <w:tab w:val="left" w:pos="8640"/>
              </w:tabs>
              <w:rPr>
                <w:sz w:val="22"/>
                <w:szCs w:val="22"/>
              </w:rPr>
            </w:pPr>
            <w:r w:rsidRPr="00C57C99">
              <w:rPr>
                <w:sz w:val="22"/>
                <w:szCs w:val="22"/>
              </w:rPr>
              <w:t xml:space="preserve">The </w:t>
            </w:r>
            <w:r w:rsidR="00B36DE8">
              <w:rPr>
                <w:sz w:val="22"/>
                <w:szCs w:val="22"/>
              </w:rPr>
              <w:t>Eighth</w:t>
            </w:r>
            <w:r w:rsidRPr="00C57C99" w:rsidR="00B36DE8">
              <w:rPr>
                <w:sz w:val="22"/>
                <w:szCs w:val="22"/>
              </w:rPr>
              <w:t xml:space="preserve"> </w:t>
            </w:r>
            <w:r w:rsidRPr="00C57C99">
              <w:rPr>
                <w:sz w:val="22"/>
                <w:szCs w:val="22"/>
              </w:rPr>
              <w:t xml:space="preserve">Circuit Court of Appeals had remanded </w:t>
            </w:r>
            <w:r w:rsidR="00B36DE8">
              <w:rPr>
                <w:sz w:val="22"/>
                <w:szCs w:val="22"/>
              </w:rPr>
              <w:t xml:space="preserve">the 2017 </w:t>
            </w:r>
            <w:r w:rsidRPr="00B36DE8" w:rsidR="00B36DE8">
              <w:rPr>
                <w:i/>
                <w:sz w:val="22"/>
                <w:szCs w:val="22"/>
              </w:rPr>
              <w:t>BDS Order</w:t>
            </w:r>
            <w:r w:rsidRPr="00C57C99">
              <w:rPr>
                <w:sz w:val="22"/>
                <w:szCs w:val="22"/>
              </w:rPr>
              <w:t xml:space="preserve"> on </w:t>
            </w:r>
            <w:r w:rsidR="00A54F45">
              <w:rPr>
                <w:sz w:val="22"/>
                <w:szCs w:val="22"/>
              </w:rPr>
              <w:t>procedural</w:t>
            </w:r>
            <w:r w:rsidRPr="00C57C99" w:rsidR="00A54F45">
              <w:rPr>
                <w:sz w:val="22"/>
                <w:szCs w:val="22"/>
              </w:rPr>
              <w:t xml:space="preserve"> </w:t>
            </w:r>
            <w:r w:rsidRPr="00C57C99">
              <w:rPr>
                <w:sz w:val="22"/>
                <w:szCs w:val="22"/>
              </w:rPr>
              <w:t>grounds</w:t>
            </w:r>
            <w:r w:rsidRPr="00C57C99" w:rsidR="00540947">
              <w:rPr>
                <w:sz w:val="22"/>
                <w:szCs w:val="22"/>
              </w:rPr>
              <w:t xml:space="preserve"> last year</w:t>
            </w:r>
            <w:r w:rsidRPr="00C57C99">
              <w:rPr>
                <w:sz w:val="22"/>
                <w:szCs w:val="22"/>
              </w:rPr>
              <w:t xml:space="preserve">, and the Commission </w:t>
            </w:r>
            <w:r w:rsidRPr="00C57C99" w:rsidR="00540947">
              <w:rPr>
                <w:sz w:val="22"/>
                <w:szCs w:val="22"/>
              </w:rPr>
              <w:t xml:space="preserve">subsequently </w:t>
            </w:r>
            <w:r w:rsidRPr="00C57C99">
              <w:rPr>
                <w:sz w:val="22"/>
                <w:szCs w:val="22"/>
              </w:rPr>
              <w:t xml:space="preserve">held two rounds of comment and conducted additional analysis </w:t>
            </w:r>
            <w:r w:rsidRPr="00C57C99" w:rsidR="0017422A">
              <w:rPr>
                <w:sz w:val="22"/>
                <w:szCs w:val="22"/>
              </w:rPr>
              <w:t>to</w:t>
            </w:r>
            <w:r w:rsidRPr="00C57C99">
              <w:rPr>
                <w:sz w:val="22"/>
                <w:szCs w:val="22"/>
              </w:rPr>
              <w:t xml:space="preserve"> supplement the record</w:t>
            </w:r>
            <w:r w:rsidRPr="00C57C99" w:rsidR="00540947">
              <w:rPr>
                <w:sz w:val="22"/>
                <w:szCs w:val="22"/>
              </w:rPr>
              <w:t>.</w:t>
            </w:r>
          </w:p>
          <w:p w:rsidR="008411E4" w:rsidRPr="009F234B" w:rsidP="009F234B" w14:paraId="4C0D9FB3" w14:textId="2AC60204">
            <w:pPr>
              <w:pStyle w:val="ListParagraph"/>
              <w:numPr>
                <w:ilvl w:val="1"/>
                <w:numId w:val="8"/>
              </w:numPr>
              <w:contextualSpacing w:val="0"/>
              <w:rPr>
                <w:rFonts w:eastAsiaTheme="minorEastAsia"/>
                <w:b/>
                <w:bCs/>
              </w:rPr>
            </w:pPr>
            <w:r w:rsidRPr="00C57C99">
              <w:rPr>
                <w:rFonts w:eastAsiaTheme="minorEastAsia"/>
                <w:bCs/>
                <w:sz w:val="22"/>
                <w:szCs w:val="22"/>
              </w:rPr>
              <w:t xml:space="preserve">The Commission retains oversight over prices for these services </w:t>
            </w:r>
            <w:r w:rsidR="00B36DE8">
              <w:rPr>
                <w:rFonts w:eastAsiaTheme="minorEastAsia"/>
                <w:bCs/>
                <w:sz w:val="22"/>
                <w:szCs w:val="22"/>
              </w:rPr>
              <w:t>under S</w:t>
            </w:r>
            <w:r w:rsidRPr="00C57C99">
              <w:rPr>
                <w:rFonts w:eastAsiaTheme="minorEastAsia"/>
                <w:bCs/>
                <w:sz w:val="22"/>
                <w:szCs w:val="22"/>
              </w:rPr>
              <w:t xml:space="preserve">ections 201 </w:t>
            </w:r>
            <w:r w:rsidR="00B36DE8">
              <w:rPr>
                <w:rFonts w:eastAsiaTheme="minorEastAsia"/>
                <w:bCs/>
                <w:sz w:val="22"/>
                <w:szCs w:val="22"/>
              </w:rPr>
              <w:t xml:space="preserve">and </w:t>
            </w:r>
            <w:r w:rsidRPr="00C57C99">
              <w:rPr>
                <w:rFonts w:eastAsiaTheme="minorEastAsia"/>
                <w:bCs/>
                <w:sz w:val="22"/>
                <w:szCs w:val="22"/>
              </w:rPr>
              <w:t>202</w:t>
            </w:r>
            <w:r w:rsidR="00B36DE8">
              <w:rPr>
                <w:rFonts w:eastAsiaTheme="minorEastAsia"/>
                <w:bCs/>
                <w:sz w:val="22"/>
                <w:szCs w:val="22"/>
              </w:rPr>
              <w:t xml:space="preserve"> of the Communications Act</w:t>
            </w:r>
            <w:r w:rsidRPr="00C57C99">
              <w:rPr>
                <w:rFonts w:eastAsiaTheme="minorEastAsia"/>
                <w:bCs/>
                <w:sz w:val="22"/>
                <w:szCs w:val="22"/>
              </w:rPr>
              <w:t xml:space="preserve"> and </w:t>
            </w:r>
            <w:r w:rsidR="00B36DE8">
              <w:rPr>
                <w:rFonts w:eastAsiaTheme="minorEastAsia"/>
                <w:bCs/>
                <w:sz w:val="22"/>
                <w:szCs w:val="22"/>
              </w:rPr>
              <w:t xml:space="preserve">the complaint process under Section </w:t>
            </w:r>
            <w:r w:rsidRPr="00C57C99">
              <w:rPr>
                <w:rFonts w:eastAsiaTheme="minorEastAsia"/>
                <w:bCs/>
                <w:sz w:val="22"/>
                <w:szCs w:val="22"/>
              </w:rPr>
              <w:t xml:space="preserve">208 of the Act.  </w:t>
            </w:r>
          </w:p>
          <w:p w:rsidR="00AF2C30" w:rsidRPr="009F234B" w:rsidP="009F234B" w14:paraId="1CAF1D27" w14:textId="17F742FB">
            <w:pPr>
              <w:pStyle w:val="ListParagraph"/>
              <w:numPr>
                <w:ilvl w:val="0"/>
                <w:numId w:val="8"/>
              </w:numPr>
              <w:contextualSpacing w:val="0"/>
              <w:rPr>
                <w:rFonts w:eastAsiaTheme="minorEastAsia"/>
                <w:bCs/>
                <w:sz w:val="22"/>
                <w:szCs w:val="22"/>
              </w:rPr>
            </w:pPr>
            <w:r>
              <w:rPr>
                <w:rFonts w:eastAsiaTheme="minorEastAsia"/>
                <w:bCs/>
                <w:sz w:val="22"/>
                <w:szCs w:val="22"/>
              </w:rPr>
              <w:t>The</w:t>
            </w:r>
            <w:r w:rsidRPr="00C57C99" w:rsidR="00B122C7">
              <w:rPr>
                <w:rFonts w:eastAsiaTheme="minorEastAsia"/>
                <w:bCs/>
                <w:sz w:val="22"/>
                <w:szCs w:val="22"/>
              </w:rPr>
              <w:t xml:space="preserve"> Memoran</w:t>
            </w:r>
            <w:r w:rsidRPr="00C57C99" w:rsidR="003678F0">
              <w:rPr>
                <w:rFonts w:eastAsiaTheme="minorEastAsia"/>
                <w:bCs/>
                <w:sz w:val="22"/>
                <w:szCs w:val="22"/>
              </w:rPr>
              <w:t>d</w:t>
            </w:r>
            <w:r w:rsidRPr="00C57C99" w:rsidR="00B122C7">
              <w:rPr>
                <w:rFonts w:eastAsiaTheme="minorEastAsia"/>
                <w:bCs/>
                <w:sz w:val="22"/>
                <w:szCs w:val="22"/>
              </w:rPr>
              <w:t xml:space="preserve">um Opinion and Order </w:t>
            </w:r>
            <w:r w:rsidRPr="00C57C99" w:rsidR="003678F0">
              <w:rPr>
                <w:rFonts w:eastAsiaTheme="minorEastAsia"/>
                <w:bCs/>
                <w:sz w:val="22"/>
                <w:szCs w:val="22"/>
              </w:rPr>
              <w:t xml:space="preserve">section of the item </w:t>
            </w:r>
            <w:r w:rsidR="0096016D">
              <w:rPr>
                <w:rFonts w:eastAsiaTheme="minorEastAsia"/>
                <w:bCs/>
                <w:sz w:val="22"/>
                <w:szCs w:val="22"/>
              </w:rPr>
              <w:t xml:space="preserve">partially </w:t>
            </w:r>
            <w:r w:rsidRPr="00C57C99" w:rsidR="00B122C7">
              <w:rPr>
                <w:rFonts w:eastAsiaTheme="minorEastAsia"/>
                <w:bCs/>
                <w:sz w:val="22"/>
                <w:szCs w:val="22"/>
              </w:rPr>
              <w:t>g</w:t>
            </w:r>
            <w:r w:rsidRPr="00C57C99" w:rsidR="00F24567">
              <w:rPr>
                <w:rFonts w:eastAsiaTheme="minorEastAsia"/>
                <w:bCs/>
                <w:sz w:val="22"/>
                <w:szCs w:val="22"/>
              </w:rPr>
              <w:t>rant</w:t>
            </w:r>
            <w:r w:rsidRPr="00C57C99" w:rsidR="00B122C7">
              <w:rPr>
                <w:rFonts w:eastAsiaTheme="minorEastAsia"/>
                <w:bCs/>
                <w:sz w:val="22"/>
                <w:szCs w:val="22"/>
              </w:rPr>
              <w:t>s</w:t>
            </w:r>
            <w:r w:rsidRPr="00C57C99" w:rsidR="00F24567">
              <w:rPr>
                <w:rFonts w:eastAsiaTheme="minorEastAsia"/>
                <w:bCs/>
                <w:sz w:val="22"/>
                <w:szCs w:val="22"/>
              </w:rPr>
              <w:t xml:space="preserve"> </w:t>
            </w:r>
            <w:r w:rsidR="0096016D">
              <w:rPr>
                <w:rFonts w:eastAsiaTheme="minorEastAsia"/>
                <w:bCs/>
                <w:sz w:val="22"/>
                <w:szCs w:val="22"/>
              </w:rPr>
              <w:t>USTelecom’s</w:t>
            </w:r>
            <w:r w:rsidR="0096016D">
              <w:rPr>
                <w:rFonts w:eastAsiaTheme="minorEastAsia"/>
                <w:bCs/>
                <w:sz w:val="22"/>
                <w:szCs w:val="22"/>
              </w:rPr>
              <w:t xml:space="preserve"> request for </w:t>
            </w:r>
            <w:r w:rsidRPr="00C57C99" w:rsidR="00F24567">
              <w:rPr>
                <w:rFonts w:eastAsiaTheme="minorEastAsia"/>
                <w:bCs/>
                <w:sz w:val="22"/>
                <w:szCs w:val="22"/>
              </w:rPr>
              <w:t>forbearance</w:t>
            </w:r>
            <w:r w:rsidRPr="00C57C99" w:rsidR="003678F0">
              <w:rPr>
                <w:rFonts w:eastAsiaTheme="minorEastAsia"/>
                <w:bCs/>
                <w:sz w:val="22"/>
                <w:szCs w:val="22"/>
              </w:rPr>
              <w:t xml:space="preserve"> from </w:t>
            </w:r>
            <w:r w:rsidR="00286ED8">
              <w:rPr>
                <w:rFonts w:eastAsiaTheme="minorEastAsia"/>
                <w:bCs/>
                <w:sz w:val="22"/>
                <w:szCs w:val="22"/>
              </w:rPr>
              <w:t xml:space="preserve">decades-old requirements that price cap carriers provide their competitors with dedicated transport facilities between wire centers within their local networks on an unbundled basis at regulated rates.  </w:t>
            </w:r>
            <w:r w:rsidR="0091294D">
              <w:rPr>
                <w:rFonts w:eastAsiaTheme="minorEastAsia"/>
                <w:bCs/>
                <w:sz w:val="22"/>
                <w:szCs w:val="22"/>
              </w:rPr>
              <w:t xml:space="preserve">Specifically, </w:t>
            </w:r>
            <w:r w:rsidR="00286ED8">
              <w:rPr>
                <w:rFonts w:eastAsiaTheme="minorEastAsia"/>
                <w:bCs/>
                <w:sz w:val="22"/>
                <w:szCs w:val="22"/>
              </w:rPr>
              <w:t>the item</w:t>
            </w:r>
            <w:r w:rsidR="0091294D">
              <w:rPr>
                <w:rFonts w:eastAsiaTheme="minorEastAsia"/>
                <w:bCs/>
                <w:sz w:val="22"/>
                <w:szCs w:val="22"/>
              </w:rPr>
              <w:t xml:space="preserve"> grants relief from requirements</w:t>
            </w:r>
            <w:r w:rsidRPr="00C57C99" w:rsidR="003678F0">
              <w:rPr>
                <w:rFonts w:eastAsiaTheme="minorEastAsia"/>
                <w:bCs/>
                <w:sz w:val="22"/>
                <w:szCs w:val="22"/>
              </w:rPr>
              <w:t xml:space="preserve"> </w:t>
            </w:r>
            <w:r w:rsidR="0091294D">
              <w:rPr>
                <w:rFonts w:eastAsiaTheme="minorEastAsia"/>
                <w:bCs/>
                <w:sz w:val="22"/>
                <w:szCs w:val="22"/>
              </w:rPr>
              <w:t xml:space="preserve">to provide legacy transport—known as DS1 (1.5 Mbps) and </w:t>
            </w:r>
            <w:r w:rsidR="0091294D">
              <w:rPr>
                <w:rFonts w:eastAsiaTheme="minorEastAsia"/>
                <w:bCs/>
                <w:sz w:val="22"/>
                <w:szCs w:val="22"/>
              </w:rPr>
              <w:t xml:space="preserve">DS3 (45 Mbps) </w:t>
            </w:r>
            <w:r w:rsidR="00165509">
              <w:rPr>
                <w:rFonts w:eastAsiaTheme="minorEastAsia"/>
                <w:bCs/>
                <w:sz w:val="22"/>
                <w:szCs w:val="22"/>
              </w:rPr>
              <w:t xml:space="preserve">unbundled </w:t>
            </w:r>
            <w:r w:rsidR="0091294D">
              <w:rPr>
                <w:rFonts w:eastAsiaTheme="minorEastAsia"/>
                <w:bCs/>
                <w:sz w:val="22"/>
                <w:szCs w:val="22"/>
              </w:rPr>
              <w:t>transport—at price cap wire centers where competitive fiber networks are located within a half-mile of the wire center.</w:t>
            </w:r>
          </w:p>
          <w:p w:rsidR="00F24567" w:rsidRPr="00C57C99" w:rsidP="003678F0" w14:paraId="4505E8DC" w14:textId="174A29A0">
            <w:pPr>
              <w:pStyle w:val="ListParagraph"/>
              <w:numPr>
                <w:ilvl w:val="1"/>
                <w:numId w:val="8"/>
              </w:numPr>
              <w:contextualSpacing w:val="0"/>
              <w:rPr>
                <w:sz w:val="22"/>
                <w:szCs w:val="22"/>
              </w:rPr>
            </w:pPr>
            <w:r w:rsidRPr="00C57C99">
              <w:rPr>
                <w:rFonts w:eastAsiaTheme="minorEastAsia"/>
                <w:bCs/>
                <w:sz w:val="22"/>
                <w:szCs w:val="22"/>
              </w:rPr>
              <w:t xml:space="preserve">The item provides a </w:t>
            </w:r>
            <w:r w:rsidRPr="00C57C99">
              <w:rPr>
                <w:rFonts w:eastAsiaTheme="minorEastAsia"/>
                <w:bCs/>
                <w:sz w:val="22"/>
                <w:szCs w:val="22"/>
              </w:rPr>
              <w:t>six-month transition period during which competitive carriers can place new orders for DS1 and DS3 unbundled</w:t>
            </w:r>
            <w:r w:rsidRPr="00C57C99">
              <w:rPr>
                <w:sz w:val="22"/>
                <w:szCs w:val="22"/>
              </w:rPr>
              <w:t xml:space="preserve"> transport</w:t>
            </w:r>
            <w:r w:rsidRPr="00C57C99">
              <w:rPr>
                <w:sz w:val="22"/>
                <w:szCs w:val="22"/>
              </w:rPr>
              <w:t xml:space="preserve"> and </w:t>
            </w:r>
            <w:r w:rsidRPr="00C57C99">
              <w:rPr>
                <w:sz w:val="22"/>
                <w:szCs w:val="22"/>
              </w:rPr>
              <w:t>a concurrent three-year transition period to enable these carriers to arrange for alternative transport options.</w:t>
            </w:r>
            <w:r w:rsidR="0096016D">
              <w:rPr>
                <w:sz w:val="22"/>
                <w:szCs w:val="22"/>
              </w:rPr>
              <w:t xml:space="preserve">  The item also provides a five-year transition period for Puerto Rico </w:t>
            </w:r>
            <w:r w:rsidRPr="0091294D" w:rsidR="0091294D">
              <w:rPr>
                <w:sz w:val="22"/>
                <w:szCs w:val="22"/>
              </w:rPr>
              <w:t xml:space="preserve">to account for the </w:t>
            </w:r>
            <w:r w:rsidR="0091294D">
              <w:rPr>
                <w:sz w:val="22"/>
                <w:szCs w:val="22"/>
              </w:rPr>
              <w:t xml:space="preserve">devastation to </w:t>
            </w:r>
            <w:r w:rsidRPr="0091294D" w:rsidR="0091294D">
              <w:rPr>
                <w:sz w:val="22"/>
                <w:szCs w:val="22"/>
              </w:rPr>
              <w:t>communications infrastructure in that territory from the 2017 hurricanes</w:t>
            </w:r>
            <w:r w:rsidR="009A790E">
              <w:rPr>
                <w:sz w:val="22"/>
                <w:szCs w:val="22"/>
              </w:rPr>
              <w:t>.</w:t>
            </w:r>
          </w:p>
          <w:p w:rsidR="00292CBA" w:rsidRPr="00E739DC" w:rsidP="009C5362" w14:paraId="0EC31ABD" w14:textId="2D6CDC30">
            <w:pPr>
              <w:tabs>
                <w:tab w:val="left" w:pos="8640"/>
              </w:tabs>
              <w:rPr>
                <w:sz w:val="22"/>
                <w:szCs w:val="22"/>
              </w:rPr>
            </w:pPr>
          </w:p>
          <w:p w:rsidR="00E739DC" w:rsidRPr="00E739DC" w:rsidP="00E739DC" w14:paraId="592FCE27" w14:textId="091EA55D">
            <w:pPr>
              <w:tabs>
                <w:tab w:val="left" w:pos="8640"/>
              </w:tabs>
              <w:rPr>
                <w:sz w:val="22"/>
                <w:szCs w:val="22"/>
              </w:rPr>
            </w:pPr>
            <w:r w:rsidRPr="00E739DC">
              <w:rPr>
                <w:sz w:val="22"/>
                <w:szCs w:val="22"/>
              </w:rPr>
              <w:t xml:space="preserve">Action by the Commission July 10, 2019 by Report and Order and Memorandum Opinion and Order (FCC 19-66).  </w:t>
            </w:r>
            <w:r w:rsidRPr="00A064C0">
              <w:rPr>
                <w:sz w:val="22"/>
                <w:szCs w:val="22"/>
              </w:rPr>
              <w:t>Chairman Pai, Commissioners O’Rielly</w:t>
            </w:r>
            <w:r w:rsidRPr="00A064C0" w:rsidR="00825FDB">
              <w:rPr>
                <w:sz w:val="22"/>
                <w:szCs w:val="22"/>
              </w:rPr>
              <w:t xml:space="preserve"> and </w:t>
            </w:r>
            <w:r w:rsidRPr="00A064C0">
              <w:rPr>
                <w:sz w:val="22"/>
                <w:szCs w:val="22"/>
              </w:rPr>
              <w:t>Carr</w:t>
            </w:r>
            <w:r w:rsidRPr="00A064C0" w:rsidR="00825FDB">
              <w:rPr>
                <w:sz w:val="22"/>
                <w:szCs w:val="22"/>
              </w:rPr>
              <w:t xml:space="preserve"> approving.</w:t>
            </w:r>
            <w:r w:rsidR="00DE659B">
              <w:rPr>
                <w:sz w:val="22"/>
                <w:szCs w:val="22"/>
              </w:rPr>
              <w:t xml:space="preserve">  </w:t>
            </w:r>
            <w:r w:rsidRPr="00A064C0">
              <w:rPr>
                <w:sz w:val="22"/>
                <w:szCs w:val="22"/>
              </w:rPr>
              <w:t>Commissioner</w:t>
            </w:r>
            <w:r w:rsidRPr="00A064C0" w:rsidR="00A064C0">
              <w:rPr>
                <w:sz w:val="22"/>
                <w:szCs w:val="22"/>
              </w:rPr>
              <w:t>s Rosenworcel and</w:t>
            </w:r>
            <w:r w:rsidRPr="00A064C0">
              <w:rPr>
                <w:sz w:val="22"/>
                <w:szCs w:val="22"/>
              </w:rPr>
              <w:t xml:space="preserve"> Starks concurring.  Chairman Pai, Commissioners O’Rielly</w:t>
            </w:r>
            <w:r w:rsidRPr="00A064C0" w:rsidR="00A064C0">
              <w:rPr>
                <w:sz w:val="22"/>
                <w:szCs w:val="22"/>
              </w:rPr>
              <w:t xml:space="preserve"> and </w:t>
            </w:r>
            <w:r w:rsidRPr="00A064C0">
              <w:rPr>
                <w:sz w:val="22"/>
                <w:szCs w:val="22"/>
              </w:rPr>
              <w:t>Starks issuing separate statements.</w:t>
            </w:r>
          </w:p>
          <w:p w:rsidR="00E739DC" w:rsidRPr="00E739DC" w:rsidP="00E739DC" w14:paraId="1A04A48F" w14:textId="77777777">
            <w:pPr>
              <w:tabs>
                <w:tab w:val="left" w:pos="8640"/>
              </w:tabs>
              <w:rPr>
                <w:sz w:val="22"/>
                <w:szCs w:val="22"/>
              </w:rPr>
            </w:pPr>
          </w:p>
          <w:p w:rsidR="00E739DC" w:rsidRPr="00E739DC" w:rsidP="00E739DC" w14:paraId="4447E31F" w14:textId="3F29B520">
            <w:pPr>
              <w:tabs>
                <w:tab w:val="left" w:pos="8640"/>
              </w:tabs>
              <w:rPr>
                <w:sz w:val="22"/>
                <w:szCs w:val="22"/>
              </w:rPr>
            </w:pPr>
            <w:r w:rsidRPr="00E739DC">
              <w:rPr>
                <w:sz w:val="22"/>
                <w:szCs w:val="22"/>
              </w:rPr>
              <w:t>WC Docket Nos. 16-143, 05-25; GN Docket No. 13-5; RM-10593; WC Docket No. 18-141</w:t>
            </w:r>
          </w:p>
          <w:p w:rsidR="00E739DC" w:rsidRPr="00766866" w:rsidP="009C5362" w14:paraId="14E0DA09" w14:textId="77777777">
            <w:pPr>
              <w:tabs>
                <w:tab w:val="left" w:pos="8640"/>
              </w:tabs>
              <w:rPr>
                <w:sz w:val="22"/>
                <w:szCs w:val="22"/>
              </w:rPr>
            </w:pPr>
          </w:p>
          <w:p w:rsidR="004F0F1F" w:rsidRPr="007475A1" w:rsidP="00850E26" w14:paraId="5E2E3C18" w14:textId="77777777">
            <w:pPr>
              <w:ind w:right="72"/>
              <w:jc w:val="center"/>
              <w:rPr>
                <w:sz w:val="22"/>
                <w:szCs w:val="22"/>
              </w:rPr>
            </w:pPr>
            <w:r w:rsidRPr="007475A1">
              <w:rPr>
                <w:sz w:val="22"/>
                <w:szCs w:val="22"/>
              </w:rPr>
              <w:t>###</w:t>
            </w:r>
          </w:p>
          <w:p w:rsidR="00CC5E08" w:rsidRPr="0080486B" w:rsidP="00850E26" w14:paraId="2EC45EB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71EE24" w14:textId="77777777">
            <w:pPr>
              <w:ind w:right="72"/>
              <w:jc w:val="center"/>
              <w:rPr>
                <w:b/>
                <w:bCs/>
                <w:sz w:val="18"/>
                <w:szCs w:val="18"/>
              </w:rPr>
            </w:pPr>
          </w:p>
          <w:p w:rsidR="00EE0E90" w:rsidRPr="00EF729B" w:rsidP="00850E26" w14:paraId="33C9B13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09FD3BE" w14:textId="77777777">
      <w:pPr>
        <w:rPr>
          <w:b/>
          <w:bCs/>
          <w:sz w:val="2"/>
          <w:szCs w:val="2"/>
        </w:rPr>
      </w:pPr>
    </w:p>
    <w:sectPr w:rsidSect="00742385">
      <w:headerReference w:type="default" r:id="rId5"/>
      <w:footerReference w:type="default" r:id="rId6"/>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B63" w14:paraId="301AA1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B63" w14:paraId="1CC122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E3E00"/>
    <w:multiLevelType w:val="hybridMultilevel"/>
    <w:tmpl w:val="BCBA421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2F6097B"/>
    <w:multiLevelType w:val="hybridMultilevel"/>
    <w:tmpl w:val="714CD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5C7205"/>
    <w:multiLevelType w:val="hybridMultilevel"/>
    <w:tmpl w:val="D60AD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217FAA"/>
    <w:multiLevelType w:val="hybridMultilevel"/>
    <w:tmpl w:val="0A76C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3AF80772"/>
    <w:multiLevelType w:val="hybridMultilevel"/>
    <w:tmpl w:val="D0784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057CD2"/>
    <w:multiLevelType w:val="hybridMultilevel"/>
    <w:tmpl w:val="EBD4D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F725CE"/>
    <w:multiLevelType w:val="hybridMultilevel"/>
    <w:tmpl w:val="0FD24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9"/>
  </w:num>
  <w:num w:numId="6">
    <w:abstractNumId w:val="7"/>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59"/>
    <w:rsid w:val="0000422A"/>
    <w:rsid w:val="00007FE4"/>
    <w:rsid w:val="0002500C"/>
    <w:rsid w:val="000255FC"/>
    <w:rsid w:val="000311FC"/>
    <w:rsid w:val="00034548"/>
    <w:rsid w:val="00040127"/>
    <w:rsid w:val="00065E2D"/>
    <w:rsid w:val="00081232"/>
    <w:rsid w:val="00091E65"/>
    <w:rsid w:val="00096D4A"/>
    <w:rsid w:val="000A38EA"/>
    <w:rsid w:val="000C1E47"/>
    <w:rsid w:val="000C26F3"/>
    <w:rsid w:val="000D43CE"/>
    <w:rsid w:val="000D7E74"/>
    <w:rsid w:val="000E049E"/>
    <w:rsid w:val="000F7DF5"/>
    <w:rsid w:val="0010799B"/>
    <w:rsid w:val="00112184"/>
    <w:rsid w:val="00117DB2"/>
    <w:rsid w:val="00123ED2"/>
    <w:rsid w:val="00125BE0"/>
    <w:rsid w:val="0013273A"/>
    <w:rsid w:val="001352AB"/>
    <w:rsid w:val="00142513"/>
    <w:rsid w:val="00142C13"/>
    <w:rsid w:val="00152776"/>
    <w:rsid w:val="00153222"/>
    <w:rsid w:val="001577D3"/>
    <w:rsid w:val="00165509"/>
    <w:rsid w:val="001733A6"/>
    <w:rsid w:val="0017422A"/>
    <w:rsid w:val="00181055"/>
    <w:rsid w:val="001865A9"/>
    <w:rsid w:val="00187DB2"/>
    <w:rsid w:val="001A08D9"/>
    <w:rsid w:val="001B20BB"/>
    <w:rsid w:val="001C4370"/>
    <w:rsid w:val="001C51CA"/>
    <w:rsid w:val="001D3779"/>
    <w:rsid w:val="001D4066"/>
    <w:rsid w:val="001E15D8"/>
    <w:rsid w:val="001F0469"/>
    <w:rsid w:val="00203A98"/>
    <w:rsid w:val="00206EDD"/>
    <w:rsid w:val="00210F9D"/>
    <w:rsid w:val="0021247E"/>
    <w:rsid w:val="002146F6"/>
    <w:rsid w:val="00231C32"/>
    <w:rsid w:val="00240345"/>
    <w:rsid w:val="002421F0"/>
    <w:rsid w:val="00247274"/>
    <w:rsid w:val="00252694"/>
    <w:rsid w:val="00252F49"/>
    <w:rsid w:val="00266966"/>
    <w:rsid w:val="00285C36"/>
    <w:rsid w:val="00286ED8"/>
    <w:rsid w:val="00292CBA"/>
    <w:rsid w:val="00294C0C"/>
    <w:rsid w:val="002A0934"/>
    <w:rsid w:val="002A2859"/>
    <w:rsid w:val="002B1013"/>
    <w:rsid w:val="002B156D"/>
    <w:rsid w:val="002D03E5"/>
    <w:rsid w:val="002E3F1D"/>
    <w:rsid w:val="002F31D0"/>
    <w:rsid w:val="00300359"/>
    <w:rsid w:val="00315523"/>
    <w:rsid w:val="0031773E"/>
    <w:rsid w:val="00333871"/>
    <w:rsid w:val="00347716"/>
    <w:rsid w:val="003506E1"/>
    <w:rsid w:val="0035571C"/>
    <w:rsid w:val="003678F0"/>
    <w:rsid w:val="003727E3"/>
    <w:rsid w:val="003765B9"/>
    <w:rsid w:val="00385A93"/>
    <w:rsid w:val="003910F1"/>
    <w:rsid w:val="003C5234"/>
    <w:rsid w:val="003D3AC4"/>
    <w:rsid w:val="003D75A0"/>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2F11"/>
    <w:rsid w:val="004B4FEA"/>
    <w:rsid w:val="004B6F1B"/>
    <w:rsid w:val="004C0ADA"/>
    <w:rsid w:val="004C433E"/>
    <w:rsid w:val="004C4512"/>
    <w:rsid w:val="004C4F36"/>
    <w:rsid w:val="004D3D85"/>
    <w:rsid w:val="004E1AAF"/>
    <w:rsid w:val="004E2BD8"/>
    <w:rsid w:val="004E3307"/>
    <w:rsid w:val="004F0F1F"/>
    <w:rsid w:val="005009AD"/>
    <w:rsid w:val="005022AA"/>
    <w:rsid w:val="00504845"/>
    <w:rsid w:val="0050757F"/>
    <w:rsid w:val="00516AD2"/>
    <w:rsid w:val="00540947"/>
    <w:rsid w:val="00545DAE"/>
    <w:rsid w:val="00554CDD"/>
    <w:rsid w:val="00561AF9"/>
    <w:rsid w:val="00571B83"/>
    <w:rsid w:val="00575A00"/>
    <w:rsid w:val="00575E30"/>
    <w:rsid w:val="0058673C"/>
    <w:rsid w:val="005A6EC3"/>
    <w:rsid w:val="005A7972"/>
    <w:rsid w:val="005B17E7"/>
    <w:rsid w:val="005B2643"/>
    <w:rsid w:val="005C680E"/>
    <w:rsid w:val="005D17FD"/>
    <w:rsid w:val="005F0D55"/>
    <w:rsid w:val="005F183E"/>
    <w:rsid w:val="00600DDA"/>
    <w:rsid w:val="00604211"/>
    <w:rsid w:val="00613498"/>
    <w:rsid w:val="00617B94"/>
    <w:rsid w:val="00620BED"/>
    <w:rsid w:val="00620E78"/>
    <w:rsid w:val="006415B4"/>
    <w:rsid w:val="00644E3D"/>
    <w:rsid w:val="00651B9E"/>
    <w:rsid w:val="00652019"/>
    <w:rsid w:val="00657EC9"/>
    <w:rsid w:val="00665633"/>
    <w:rsid w:val="006666D0"/>
    <w:rsid w:val="00674C86"/>
    <w:rsid w:val="0068015E"/>
    <w:rsid w:val="006861AB"/>
    <w:rsid w:val="00686B89"/>
    <w:rsid w:val="0069420F"/>
    <w:rsid w:val="006A2FC5"/>
    <w:rsid w:val="006A7D75"/>
    <w:rsid w:val="006B0A70"/>
    <w:rsid w:val="006B606A"/>
    <w:rsid w:val="006C02C9"/>
    <w:rsid w:val="006C33AF"/>
    <w:rsid w:val="006D5D22"/>
    <w:rsid w:val="006E0324"/>
    <w:rsid w:val="006E4A76"/>
    <w:rsid w:val="006F1DBD"/>
    <w:rsid w:val="00700556"/>
    <w:rsid w:val="0070589A"/>
    <w:rsid w:val="007167DD"/>
    <w:rsid w:val="0072478B"/>
    <w:rsid w:val="0073414D"/>
    <w:rsid w:val="00742385"/>
    <w:rsid w:val="007475A1"/>
    <w:rsid w:val="0075235E"/>
    <w:rsid w:val="007528A5"/>
    <w:rsid w:val="00766866"/>
    <w:rsid w:val="007732CC"/>
    <w:rsid w:val="00774079"/>
    <w:rsid w:val="0077752B"/>
    <w:rsid w:val="00793D6F"/>
    <w:rsid w:val="00794090"/>
    <w:rsid w:val="007A44F8"/>
    <w:rsid w:val="007C69DC"/>
    <w:rsid w:val="007D21BF"/>
    <w:rsid w:val="007E3F56"/>
    <w:rsid w:val="007F3C12"/>
    <w:rsid w:val="007F5205"/>
    <w:rsid w:val="0080486B"/>
    <w:rsid w:val="008215E7"/>
    <w:rsid w:val="00825FDB"/>
    <w:rsid w:val="00830FC6"/>
    <w:rsid w:val="008411E4"/>
    <w:rsid w:val="00850E26"/>
    <w:rsid w:val="00861EB1"/>
    <w:rsid w:val="00864697"/>
    <w:rsid w:val="00865EAA"/>
    <w:rsid w:val="00866F06"/>
    <w:rsid w:val="008728F5"/>
    <w:rsid w:val="008824C2"/>
    <w:rsid w:val="008932BC"/>
    <w:rsid w:val="008960E4"/>
    <w:rsid w:val="00896697"/>
    <w:rsid w:val="008A3940"/>
    <w:rsid w:val="008B13C9"/>
    <w:rsid w:val="008C248C"/>
    <w:rsid w:val="008C5432"/>
    <w:rsid w:val="008C7BF1"/>
    <w:rsid w:val="008D00D6"/>
    <w:rsid w:val="008D4D00"/>
    <w:rsid w:val="008D4E5E"/>
    <w:rsid w:val="008D7ABD"/>
    <w:rsid w:val="008E55A2"/>
    <w:rsid w:val="008F1609"/>
    <w:rsid w:val="008F78D8"/>
    <w:rsid w:val="0091294D"/>
    <w:rsid w:val="00917966"/>
    <w:rsid w:val="0093373C"/>
    <w:rsid w:val="0094479D"/>
    <w:rsid w:val="0096016D"/>
    <w:rsid w:val="00961620"/>
    <w:rsid w:val="00964EE3"/>
    <w:rsid w:val="009734B6"/>
    <w:rsid w:val="0098096F"/>
    <w:rsid w:val="0098437A"/>
    <w:rsid w:val="00986C92"/>
    <w:rsid w:val="00993C47"/>
    <w:rsid w:val="00994746"/>
    <w:rsid w:val="009972BC"/>
    <w:rsid w:val="009A790E"/>
    <w:rsid w:val="009B4B16"/>
    <w:rsid w:val="009C5362"/>
    <w:rsid w:val="009E54A1"/>
    <w:rsid w:val="009F234B"/>
    <w:rsid w:val="009F275E"/>
    <w:rsid w:val="009F4E25"/>
    <w:rsid w:val="009F5B1F"/>
    <w:rsid w:val="00A064C0"/>
    <w:rsid w:val="00A225A9"/>
    <w:rsid w:val="00A3308E"/>
    <w:rsid w:val="00A35DFD"/>
    <w:rsid w:val="00A37736"/>
    <w:rsid w:val="00A42351"/>
    <w:rsid w:val="00A54F45"/>
    <w:rsid w:val="00A702DF"/>
    <w:rsid w:val="00A775A3"/>
    <w:rsid w:val="00A81700"/>
    <w:rsid w:val="00A81B5B"/>
    <w:rsid w:val="00A82FAD"/>
    <w:rsid w:val="00A9673A"/>
    <w:rsid w:val="00A96EF2"/>
    <w:rsid w:val="00AA5C35"/>
    <w:rsid w:val="00AA5ED9"/>
    <w:rsid w:val="00AC0A38"/>
    <w:rsid w:val="00AC35EC"/>
    <w:rsid w:val="00AC4E0E"/>
    <w:rsid w:val="00AC517B"/>
    <w:rsid w:val="00AD0D19"/>
    <w:rsid w:val="00AF051B"/>
    <w:rsid w:val="00AF2C30"/>
    <w:rsid w:val="00B037A2"/>
    <w:rsid w:val="00B122C7"/>
    <w:rsid w:val="00B307FF"/>
    <w:rsid w:val="00B31870"/>
    <w:rsid w:val="00B320B8"/>
    <w:rsid w:val="00B35EE2"/>
    <w:rsid w:val="00B36DE8"/>
    <w:rsid w:val="00B36DEF"/>
    <w:rsid w:val="00B57131"/>
    <w:rsid w:val="00B62F2C"/>
    <w:rsid w:val="00B727C9"/>
    <w:rsid w:val="00B735C8"/>
    <w:rsid w:val="00B76A63"/>
    <w:rsid w:val="00B84B63"/>
    <w:rsid w:val="00B90842"/>
    <w:rsid w:val="00BA6350"/>
    <w:rsid w:val="00BB4E29"/>
    <w:rsid w:val="00BB74C9"/>
    <w:rsid w:val="00BC3AB6"/>
    <w:rsid w:val="00BC4475"/>
    <w:rsid w:val="00BD19E8"/>
    <w:rsid w:val="00BD4273"/>
    <w:rsid w:val="00BE3FDC"/>
    <w:rsid w:val="00C166D3"/>
    <w:rsid w:val="00C31ED8"/>
    <w:rsid w:val="00C432E4"/>
    <w:rsid w:val="00C53E3F"/>
    <w:rsid w:val="00C54427"/>
    <w:rsid w:val="00C57C99"/>
    <w:rsid w:val="00C62BE0"/>
    <w:rsid w:val="00C70C26"/>
    <w:rsid w:val="00C71933"/>
    <w:rsid w:val="00C72001"/>
    <w:rsid w:val="00C772B7"/>
    <w:rsid w:val="00C80347"/>
    <w:rsid w:val="00C869D2"/>
    <w:rsid w:val="00C94566"/>
    <w:rsid w:val="00CA102D"/>
    <w:rsid w:val="00CA7F23"/>
    <w:rsid w:val="00CB7C1A"/>
    <w:rsid w:val="00CC5E08"/>
    <w:rsid w:val="00CE14FD"/>
    <w:rsid w:val="00CF29B6"/>
    <w:rsid w:val="00CF6860"/>
    <w:rsid w:val="00D02AC6"/>
    <w:rsid w:val="00D03F0C"/>
    <w:rsid w:val="00D04312"/>
    <w:rsid w:val="00D16A7F"/>
    <w:rsid w:val="00D16AD2"/>
    <w:rsid w:val="00D22596"/>
    <w:rsid w:val="00D22691"/>
    <w:rsid w:val="00D24C3D"/>
    <w:rsid w:val="00D42B07"/>
    <w:rsid w:val="00D4591B"/>
    <w:rsid w:val="00D46CB1"/>
    <w:rsid w:val="00D630A2"/>
    <w:rsid w:val="00D723F0"/>
    <w:rsid w:val="00D8133F"/>
    <w:rsid w:val="00D861EE"/>
    <w:rsid w:val="00D9011E"/>
    <w:rsid w:val="00D95B05"/>
    <w:rsid w:val="00D97E2D"/>
    <w:rsid w:val="00DA103D"/>
    <w:rsid w:val="00DA45D3"/>
    <w:rsid w:val="00DA4772"/>
    <w:rsid w:val="00DA7B44"/>
    <w:rsid w:val="00DB2667"/>
    <w:rsid w:val="00DB67B7"/>
    <w:rsid w:val="00DC15A9"/>
    <w:rsid w:val="00DC39E1"/>
    <w:rsid w:val="00DC40AA"/>
    <w:rsid w:val="00DD1750"/>
    <w:rsid w:val="00DE659B"/>
    <w:rsid w:val="00E349AA"/>
    <w:rsid w:val="00E4113D"/>
    <w:rsid w:val="00E41390"/>
    <w:rsid w:val="00E41CA0"/>
    <w:rsid w:val="00E4366B"/>
    <w:rsid w:val="00E50A4A"/>
    <w:rsid w:val="00E606DE"/>
    <w:rsid w:val="00E644FE"/>
    <w:rsid w:val="00E72733"/>
    <w:rsid w:val="00E739DC"/>
    <w:rsid w:val="00E742FA"/>
    <w:rsid w:val="00E76816"/>
    <w:rsid w:val="00E83DBF"/>
    <w:rsid w:val="00E87C13"/>
    <w:rsid w:val="00E94CD9"/>
    <w:rsid w:val="00EA1A76"/>
    <w:rsid w:val="00EA290B"/>
    <w:rsid w:val="00EB3CD2"/>
    <w:rsid w:val="00EE0E90"/>
    <w:rsid w:val="00EF3BCA"/>
    <w:rsid w:val="00EF729B"/>
    <w:rsid w:val="00F01B0D"/>
    <w:rsid w:val="00F01F9E"/>
    <w:rsid w:val="00F1238F"/>
    <w:rsid w:val="00F16485"/>
    <w:rsid w:val="00F228ED"/>
    <w:rsid w:val="00F24567"/>
    <w:rsid w:val="00F26E31"/>
    <w:rsid w:val="00F27C6C"/>
    <w:rsid w:val="00F34A8D"/>
    <w:rsid w:val="00F35202"/>
    <w:rsid w:val="00F50D25"/>
    <w:rsid w:val="00F535D8"/>
    <w:rsid w:val="00F61155"/>
    <w:rsid w:val="00F708E3"/>
    <w:rsid w:val="00F76561"/>
    <w:rsid w:val="00F84736"/>
    <w:rsid w:val="00FA0751"/>
    <w:rsid w:val="00FC6C29"/>
    <w:rsid w:val="00FD58E0"/>
    <w:rsid w:val="00FD71AE"/>
    <w:rsid w:val="00FE0198"/>
    <w:rsid w:val="00FE3A7C"/>
    <w:rsid w:val="00FF1C0B"/>
    <w:rsid w:val="00FF232D"/>
    <w:rsid w:val="00FF4C6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9A85E2F-518C-46B5-B231-21303579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C53E3F"/>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C53E3F"/>
    <w:pPr>
      <w:keepNext/>
      <w:widowControl w:val="0"/>
      <w:numPr>
        <w:ilvl w:val="1"/>
        <w:numId w:val="3"/>
      </w:numPr>
      <w:spacing w:after="120"/>
      <w:outlineLvl w:val="1"/>
    </w:pPr>
    <w:rPr>
      <w:b/>
      <w:snapToGrid w:val="0"/>
      <w:kern w:val="28"/>
      <w:sz w:val="22"/>
      <w:szCs w:val="20"/>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53E3F"/>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53E3F"/>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C53E3F"/>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6"/>
    <w:basedOn w:val="Normal"/>
    <w:next w:val="ParaNum"/>
    <w:link w:val="Heading6Char"/>
    <w:qFormat/>
    <w:rsid w:val="00C53E3F"/>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C53E3F"/>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C53E3F"/>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C53E3F"/>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customStyle="1" w:styleId="ParaNum">
    <w:name w:val="ParaNum"/>
    <w:basedOn w:val="Normal"/>
    <w:link w:val="ParaNumChar"/>
    <w:qFormat/>
    <w:rsid w:val="00C53E3F"/>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C53E3F"/>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C53E3F"/>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C53E3F"/>
    <w:rPr>
      <w:rFonts w:ascii="Times New Roman" w:hAnsi="Times New Roman"/>
      <w:dstrike w:val="0"/>
      <w:color w:val="auto"/>
      <w:sz w:val="20"/>
      <w:vertAlign w:val="superscript"/>
    </w:rPr>
  </w:style>
  <w:style w:type="character" w:customStyle="1" w:styleId="ParaNumChar">
    <w:name w:val="ParaNum Char"/>
    <w:link w:val="ParaNum"/>
    <w:rsid w:val="00C53E3F"/>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basedOn w:val="DefaultParagraphFont"/>
    <w:link w:val="Heading1"/>
    <w:rsid w:val="00C53E3F"/>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basedOn w:val="DefaultParagraphFont"/>
    <w:link w:val="Heading2"/>
    <w:rsid w:val="00C53E3F"/>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rsid w:val="00C53E3F"/>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rsid w:val="00C53E3F"/>
    <w:rPr>
      <w:b/>
      <w:snapToGrid w:val="0"/>
      <w:kern w:val="28"/>
      <w:sz w:val="22"/>
    </w:rPr>
  </w:style>
  <w:style w:type="character" w:customStyle="1" w:styleId="Heading5Char">
    <w:name w:val="Heading 5 Char"/>
    <w:basedOn w:val="DefaultParagraphFont"/>
    <w:link w:val="Heading5"/>
    <w:rsid w:val="00C53E3F"/>
    <w:rPr>
      <w:b/>
      <w:snapToGrid w:val="0"/>
      <w:kern w:val="28"/>
      <w:sz w:val="22"/>
    </w:rPr>
  </w:style>
  <w:style w:type="character" w:customStyle="1" w:styleId="Heading6Char">
    <w:name w:val="Heading 6 Char"/>
    <w:aliases w:val="h6 Char"/>
    <w:basedOn w:val="DefaultParagraphFont"/>
    <w:link w:val="Heading6"/>
    <w:rsid w:val="00C53E3F"/>
    <w:rPr>
      <w:b/>
      <w:snapToGrid w:val="0"/>
      <w:kern w:val="28"/>
      <w:sz w:val="22"/>
    </w:rPr>
  </w:style>
  <w:style w:type="character" w:customStyle="1" w:styleId="Heading7Char">
    <w:name w:val="Heading 7 Char"/>
    <w:basedOn w:val="DefaultParagraphFont"/>
    <w:link w:val="Heading7"/>
    <w:rsid w:val="00C53E3F"/>
    <w:rPr>
      <w:b/>
      <w:snapToGrid w:val="0"/>
      <w:kern w:val="28"/>
      <w:sz w:val="22"/>
    </w:rPr>
  </w:style>
  <w:style w:type="character" w:customStyle="1" w:styleId="Heading8Char">
    <w:name w:val="Heading 8 Char"/>
    <w:basedOn w:val="DefaultParagraphFont"/>
    <w:link w:val="Heading8"/>
    <w:rsid w:val="00C53E3F"/>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C53E3F"/>
    <w:rPr>
      <w:b/>
      <w:snapToGrid w:val="0"/>
      <w:kern w:val="28"/>
      <w:sz w:val="22"/>
    </w:rPr>
  </w:style>
  <w:style w:type="paragraph" w:styleId="ListParagraph">
    <w:name w:val="List Paragraph"/>
    <w:basedOn w:val="Normal"/>
    <w:link w:val="ListParagraphChar"/>
    <w:uiPriority w:val="34"/>
    <w:qFormat/>
    <w:rsid w:val="00964EE3"/>
    <w:pPr>
      <w:ind w:left="720"/>
      <w:contextualSpacing/>
    </w:pPr>
  </w:style>
  <w:style w:type="character" w:customStyle="1" w:styleId="ListParagraphChar">
    <w:name w:val="List Paragraph Char"/>
    <w:basedOn w:val="DefaultParagraphFont"/>
    <w:link w:val="ListParagraph"/>
    <w:uiPriority w:val="34"/>
    <w:locked/>
    <w:rsid w:val="00CF29B6"/>
    <w:rPr>
      <w:sz w:val="24"/>
      <w:szCs w:val="24"/>
    </w:rPr>
  </w:style>
  <w:style w:type="paragraph" w:customStyle="1" w:styleId="Bullet">
    <w:name w:val="Bullet"/>
    <w:basedOn w:val="Normal"/>
    <w:rsid w:val="008411E4"/>
    <w:pPr>
      <w:widowControl w:val="0"/>
      <w:tabs>
        <w:tab w:val="left" w:pos="2160"/>
      </w:tabs>
      <w:spacing w:after="220"/>
      <w:ind w:left="2160" w:hanging="720"/>
    </w:pPr>
    <w:rPr>
      <w:snapToGrid w:val="0"/>
      <w:kern w:val="28"/>
      <w:sz w:val="22"/>
      <w:szCs w:val="20"/>
    </w:rPr>
  </w:style>
  <w:style w:type="character" w:styleId="CommentReference">
    <w:name w:val="annotation reference"/>
    <w:basedOn w:val="DefaultParagraphFont"/>
    <w:semiHidden/>
    <w:unhideWhenUsed/>
    <w:rsid w:val="00917966"/>
    <w:rPr>
      <w:sz w:val="16"/>
      <w:szCs w:val="16"/>
    </w:rPr>
  </w:style>
  <w:style w:type="paragraph" w:styleId="CommentText">
    <w:name w:val="annotation text"/>
    <w:basedOn w:val="Normal"/>
    <w:link w:val="CommentTextChar"/>
    <w:semiHidden/>
    <w:unhideWhenUsed/>
    <w:rsid w:val="00917966"/>
    <w:rPr>
      <w:sz w:val="20"/>
      <w:szCs w:val="20"/>
    </w:rPr>
  </w:style>
  <w:style w:type="character" w:customStyle="1" w:styleId="CommentTextChar">
    <w:name w:val="Comment Text Char"/>
    <w:basedOn w:val="DefaultParagraphFont"/>
    <w:link w:val="CommentText"/>
    <w:semiHidden/>
    <w:rsid w:val="00917966"/>
  </w:style>
  <w:style w:type="paragraph" w:styleId="CommentSubject">
    <w:name w:val="annotation subject"/>
    <w:basedOn w:val="CommentText"/>
    <w:next w:val="CommentText"/>
    <w:link w:val="CommentSubjectChar"/>
    <w:semiHidden/>
    <w:unhideWhenUsed/>
    <w:rsid w:val="00917966"/>
    <w:rPr>
      <w:b/>
      <w:bCs/>
    </w:rPr>
  </w:style>
  <w:style w:type="character" w:customStyle="1" w:styleId="CommentSubjectChar">
    <w:name w:val="Comment Subject Char"/>
    <w:basedOn w:val="CommentTextChar"/>
    <w:link w:val="CommentSubject"/>
    <w:semiHidden/>
    <w:rsid w:val="00917966"/>
    <w:rPr>
      <w:b/>
      <w:bCs/>
    </w:rPr>
  </w:style>
  <w:style w:type="paragraph" w:styleId="BalloonText">
    <w:name w:val="Balloon Text"/>
    <w:basedOn w:val="Normal"/>
    <w:link w:val="BalloonTextChar"/>
    <w:semiHidden/>
    <w:unhideWhenUsed/>
    <w:rsid w:val="00917966"/>
    <w:rPr>
      <w:rFonts w:ascii="Segoe UI" w:hAnsi="Segoe UI" w:cs="Segoe UI"/>
      <w:sz w:val="18"/>
      <w:szCs w:val="18"/>
    </w:rPr>
  </w:style>
  <w:style w:type="character" w:customStyle="1" w:styleId="BalloonTextChar">
    <w:name w:val="Balloon Text Char"/>
    <w:basedOn w:val="DefaultParagraphFont"/>
    <w:link w:val="BalloonText"/>
    <w:semiHidden/>
    <w:rsid w:val="00917966"/>
    <w:rPr>
      <w:rFonts w:ascii="Segoe UI" w:hAnsi="Segoe UI" w:cs="Segoe UI"/>
      <w:sz w:val="18"/>
      <w:szCs w:val="18"/>
    </w:rPr>
  </w:style>
  <w:style w:type="paragraph" w:styleId="Header">
    <w:name w:val="header"/>
    <w:basedOn w:val="Normal"/>
    <w:link w:val="HeaderChar"/>
    <w:unhideWhenUsed/>
    <w:rsid w:val="00B84B63"/>
    <w:pPr>
      <w:tabs>
        <w:tab w:val="center" w:pos="4680"/>
        <w:tab w:val="right" w:pos="9360"/>
      </w:tabs>
    </w:pPr>
  </w:style>
  <w:style w:type="character" w:customStyle="1" w:styleId="HeaderChar">
    <w:name w:val="Header Char"/>
    <w:basedOn w:val="DefaultParagraphFont"/>
    <w:link w:val="Header"/>
    <w:rsid w:val="00B84B63"/>
    <w:rPr>
      <w:sz w:val="24"/>
      <w:szCs w:val="24"/>
    </w:rPr>
  </w:style>
  <w:style w:type="paragraph" w:styleId="Footer">
    <w:name w:val="footer"/>
    <w:basedOn w:val="Normal"/>
    <w:link w:val="FooterChar"/>
    <w:unhideWhenUsed/>
    <w:rsid w:val="00B84B63"/>
    <w:pPr>
      <w:tabs>
        <w:tab w:val="center" w:pos="4680"/>
        <w:tab w:val="right" w:pos="9360"/>
      </w:tabs>
    </w:pPr>
  </w:style>
  <w:style w:type="character" w:customStyle="1" w:styleId="FooterChar">
    <w:name w:val="Footer Char"/>
    <w:basedOn w:val="DefaultParagraphFont"/>
    <w:link w:val="Footer"/>
    <w:rsid w:val="00B84B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