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Ind w:w="0" w:type="dxa"/>
        <w:tblCellMar>
          <w:top w:w="0" w:type="dxa"/>
          <w:left w:w="108" w:type="dxa"/>
          <w:bottom w:w="0" w:type="dxa"/>
          <w:right w:w="108" w:type="dxa"/>
        </w:tblCellMar>
        <w:tblLook w:val="0000"/>
      </w:tblPr>
      <w:tblGrid>
        <w:gridCol w:w="8640"/>
      </w:tblGrid>
      <w:tr w14:paraId="21370F44"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1AF17ADB"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66792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D02D456" w14:textId="77777777">
            <w:pPr>
              <w:rPr>
                <w:rStyle w:val="DefaultParagraphFont"/>
                <w:b/>
                <w:bCs/>
                <w:sz w:val="12"/>
                <w:szCs w:val="12"/>
                <w:lang w:val="en-US" w:eastAsia="en-US" w:bidi="ar-SA"/>
              </w:rPr>
            </w:pPr>
          </w:p>
          <w:p w:rsidR="007A44F8" w:rsidRPr="008A3940" w:rsidP="00BB4E29" w14:paraId="3098CA99"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853A5A" w:rsidRPr="008A3940" w:rsidP="00853A5A" w14:paraId="70A123E0" w14:textId="77777777">
            <w:pPr>
              <w:rPr>
                <w:rStyle w:val="DefaultParagraphFont"/>
                <w:bCs/>
                <w:sz w:val="22"/>
                <w:szCs w:val="22"/>
                <w:lang w:val="en-US" w:eastAsia="en-US" w:bidi="ar-SA"/>
              </w:rPr>
            </w:pPr>
            <w:r>
              <w:rPr>
                <w:bCs/>
                <w:sz w:val="22"/>
                <w:szCs w:val="22"/>
                <w:lang w:val="en-US" w:eastAsia="en-US" w:bidi="ar-SA"/>
              </w:rPr>
              <w:t>Janice Wise</w:t>
            </w:r>
            <w:r w:rsidRPr="008A3940">
              <w:rPr>
                <w:bCs/>
                <w:sz w:val="22"/>
                <w:szCs w:val="22"/>
                <w:lang w:val="en-US" w:eastAsia="en-US" w:bidi="ar-SA"/>
              </w:rPr>
              <w:t xml:space="preserve">, </w:t>
            </w:r>
            <w:r>
              <w:rPr>
                <w:bCs/>
                <w:sz w:val="22"/>
                <w:szCs w:val="22"/>
                <w:lang w:val="en-US" w:eastAsia="en-US" w:bidi="ar-SA"/>
              </w:rPr>
              <w:t>(</w:t>
            </w:r>
            <w:r w:rsidRPr="008A3940">
              <w:rPr>
                <w:bCs/>
                <w:sz w:val="22"/>
                <w:szCs w:val="22"/>
                <w:lang w:val="en-US" w:eastAsia="en-US" w:bidi="ar-SA"/>
              </w:rPr>
              <w:t>202</w:t>
            </w:r>
            <w:r>
              <w:rPr>
                <w:bCs/>
                <w:sz w:val="22"/>
                <w:szCs w:val="22"/>
                <w:lang w:val="en-US" w:eastAsia="en-US" w:bidi="ar-SA"/>
              </w:rPr>
              <w:t xml:space="preserve">) </w:t>
            </w:r>
            <w:r w:rsidRPr="008A3940">
              <w:rPr>
                <w:bCs/>
                <w:sz w:val="22"/>
                <w:szCs w:val="22"/>
                <w:lang w:val="en-US" w:eastAsia="en-US" w:bidi="ar-SA"/>
              </w:rPr>
              <w:t>418-</w:t>
            </w:r>
            <w:r>
              <w:rPr>
                <w:bCs/>
                <w:sz w:val="22"/>
                <w:szCs w:val="22"/>
                <w:lang w:val="en-US" w:eastAsia="en-US" w:bidi="ar-SA"/>
              </w:rPr>
              <w:t>8165</w:t>
            </w:r>
          </w:p>
          <w:p w:rsidR="00853A5A" w:rsidRPr="008A3940" w:rsidP="00853A5A" w14:paraId="70EA2F79" w14:textId="77777777">
            <w:pPr>
              <w:rPr>
                <w:rStyle w:val="DefaultParagraphFont"/>
                <w:bCs/>
                <w:sz w:val="22"/>
                <w:szCs w:val="22"/>
                <w:lang w:val="en-US" w:eastAsia="en-US" w:bidi="ar-SA"/>
              </w:rPr>
            </w:pPr>
            <w:r>
              <w:rPr>
                <w:bCs/>
                <w:sz w:val="22"/>
                <w:szCs w:val="22"/>
                <w:lang w:val="en-US" w:eastAsia="en-US" w:bidi="ar-SA"/>
              </w:rPr>
              <w:t>janice.wise</w:t>
            </w:r>
            <w:r w:rsidRPr="008A3940">
              <w:rPr>
                <w:bCs/>
                <w:sz w:val="22"/>
                <w:szCs w:val="22"/>
                <w:lang w:val="en-US" w:eastAsia="en-US" w:bidi="ar-SA"/>
              </w:rPr>
              <w:t>@fcc.gov</w:t>
            </w:r>
          </w:p>
          <w:p w:rsidR="007A44F8" w:rsidRPr="008A3940" w:rsidP="00BB4E29" w14:paraId="632C32C3" w14:textId="77777777">
            <w:pPr>
              <w:rPr>
                <w:rStyle w:val="DefaultParagraphFont"/>
                <w:bCs/>
                <w:sz w:val="22"/>
                <w:szCs w:val="22"/>
                <w:lang w:val="en-US" w:eastAsia="en-US" w:bidi="ar-SA"/>
              </w:rPr>
            </w:pPr>
          </w:p>
          <w:p w:rsidR="007A44F8" w:rsidRPr="008A3940" w:rsidP="00BB4E29" w14:paraId="31A43BC8"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14:paraId="04963270" w14:textId="77777777">
            <w:pPr>
              <w:jc w:val="center"/>
              <w:rPr>
                <w:rStyle w:val="DefaultParagraphFont"/>
                <w:b/>
                <w:bCs/>
                <w:sz w:val="22"/>
                <w:szCs w:val="22"/>
                <w:lang w:val="en-US" w:eastAsia="en-US" w:bidi="ar-SA"/>
              </w:rPr>
            </w:pPr>
          </w:p>
          <w:p w:rsidR="00853A5A" w:rsidRPr="003E703E" w:rsidP="00853A5A" w14:paraId="1119B0CE" w14:textId="77777777">
            <w:pPr>
              <w:tabs>
                <w:tab w:val="left" w:pos="8625"/>
              </w:tabs>
              <w:jc w:val="center"/>
              <w:rPr>
                <w:rStyle w:val="DefaultParagraphFont"/>
                <w:b/>
                <w:bCs/>
                <w:sz w:val="12"/>
                <w:szCs w:val="12"/>
                <w:lang w:val="en-US" w:eastAsia="en-US" w:bidi="ar-SA"/>
              </w:rPr>
            </w:pPr>
            <w:r w:rsidRPr="00F90AD1">
              <w:rPr>
                <w:b/>
                <w:sz w:val="26"/>
                <w:szCs w:val="26"/>
                <w:lang w:val="en-US" w:eastAsia="en-US" w:bidi="ar-SA"/>
              </w:rPr>
              <w:t xml:space="preserve">FCC </w:t>
            </w:r>
            <w:r>
              <w:rPr>
                <w:b/>
                <w:sz w:val="26"/>
                <w:szCs w:val="26"/>
                <w:lang w:val="en-US" w:eastAsia="en-US" w:bidi="ar-SA"/>
              </w:rPr>
              <w:t>PROPOSES TO MODERNIZE BROADCASTER NOTIFICATION RULES FOR CABLE AND SATELLITE TV PROVIDERS</w:t>
            </w:r>
          </w:p>
          <w:p w:rsidR="00F61155" w:rsidRPr="006B0A70" w:rsidP="00BB4E29" w14:paraId="21A09891" w14:textId="77777777">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A572D9" w:rsidP="00A572D9" w14:paraId="2909C254" w14:textId="0D96FAA0">
            <w:pPr>
              <w:rPr>
                <w:rStyle w:val="DefaultParagraphFont"/>
                <w:sz w:val="22"/>
                <w:szCs w:val="22"/>
                <w:lang w:val="en-US" w:eastAsia="en-US" w:bidi="ar-SA"/>
              </w:rPr>
            </w:pPr>
            <w:r w:rsidRPr="009B30C8">
              <w:rPr>
                <w:sz w:val="22"/>
                <w:szCs w:val="22"/>
                <w:lang w:val="en-US" w:eastAsia="en-US" w:bidi="ar-SA"/>
              </w:rPr>
              <w:t xml:space="preserve">WASHINGTON, </w:t>
            </w:r>
            <w:r>
              <w:rPr>
                <w:sz w:val="22"/>
                <w:szCs w:val="22"/>
                <w:lang w:val="en-US" w:eastAsia="en-US" w:bidi="ar-SA"/>
              </w:rPr>
              <w:t>July 10</w:t>
            </w:r>
            <w:r w:rsidRPr="009B30C8">
              <w:rPr>
                <w:sz w:val="22"/>
                <w:szCs w:val="22"/>
                <w:lang w:val="en-US" w:eastAsia="en-US" w:bidi="ar-SA"/>
              </w:rPr>
              <w:t>, 201</w:t>
            </w:r>
            <w:r>
              <w:rPr>
                <w:sz w:val="22"/>
                <w:szCs w:val="22"/>
                <w:lang w:val="en-US" w:eastAsia="en-US" w:bidi="ar-SA"/>
              </w:rPr>
              <w:t>9</w:t>
            </w:r>
            <w:r w:rsidRPr="009B30C8">
              <w:rPr>
                <w:sz w:val="22"/>
                <w:szCs w:val="22"/>
                <w:lang w:val="en-US" w:eastAsia="en-US" w:bidi="ar-SA"/>
              </w:rPr>
              <w:t>—</w:t>
            </w:r>
            <w:r>
              <w:rPr>
                <w:sz w:val="22"/>
                <w:szCs w:val="22"/>
                <w:lang w:val="en-US" w:eastAsia="en-US" w:bidi="ar-SA"/>
              </w:rPr>
              <w:t xml:space="preserve">The Federal Communications Commission </w:t>
            </w:r>
            <w:r w:rsidRPr="006F5522">
              <w:rPr>
                <w:sz w:val="22"/>
                <w:szCs w:val="22"/>
                <w:lang w:val="en-US" w:eastAsia="en-US" w:bidi="ar-SA"/>
              </w:rPr>
              <w:t>today</w:t>
            </w:r>
            <w:r>
              <w:rPr>
                <w:sz w:val="22"/>
                <w:szCs w:val="22"/>
                <w:lang w:val="en-US" w:eastAsia="en-US" w:bidi="ar-SA"/>
              </w:rPr>
              <w:t xml:space="preserve"> </w:t>
            </w:r>
            <w:r w:rsidR="003371C3">
              <w:rPr>
                <w:sz w:val="22"/>
                <w:szCs w:val="22"/>
                <w:lang w:val="en-US" w:eastAsia="en-US" w:bidi="ar-SA"/>
              </w:rPr>
              <w:t xml:space="preserve">continued taking steps to </w:t>
            </w:r>
            <w:r>
              <w:rPr>
                <w:sz w:val="22"/>
                <w:szCs w:val="22"/>
                <w:lang w:val="en-US" w:eastAsia="en-US" w:bidi="ar-SA"/>
              </w:rPr>
              <w:t xml:space="preserve">update to its notification rules for cable and satellite TV providers by proposing to transition required notices to broadcast TV stations from paper to electronic delivery.  </w:t>
            </w:r>
          </w:p>
          <w:p w:rsidR="00A572D9" w:rsidP="00A572D9" w14:paraId="7670C736" w14:textId="77777777">
            <w:pPr>
              <w:rPr>
                <w:rStyle w:val="DefaultParagraphFont"/>
                <w:sz w:val="22"/>
                <w:szCs w:val="22"/>
                <w:lang w:val="en-US" w:eastAsia="en-US" w:bidi="ar-SA"/>
              </w:rPr>
            </w:pPr>
          </w:p>
          <w:p w:rsidR="00A572D9" w:rsidP="00A572D9" w14:paraId="5F975362" w14:textId="77777777">
            <w:pPr>
              <w:rPr>
                <w:rStyle w:val="DefaultParagraphFont"/>
                <w:sz w:val="22"/>
                <w:szCs w:val="22"/>
                <w:lang w:val="en-US" w:eastAsia="en-US" w:bidi="ar-SA"/>
              </w:rPr>
            </w:pPr>
            <w:r>
              <w:rPr>
                <w:sz w:val="22"/>
                <w:szCs w:val="22"/>
                <w:lang w:val="en-US" w:eastAsia="en-US" w:bidi="ar-SA"/>
              </w:rPr>
              <w:t xml:space="preserve">Currently, these rules require that cable and satellite TV providers distribute written notices to local TV stations by mail, certified mail, or hand delivery before taking certain actions.  For example, cable operators must provide notice before commencing service in a market or deleting or repositioning a broadcast station.  Similarly, satellite providers must give notice prior to retransmitting certain stations and launching new services into a market.  </w:t>
            </w:r>
          </w:p>
          <w:p w:rsidR="00A572D9" w:rsidP="00A572D9" w14:paraId="4B66BEAD" w14:textId="77777777">
            <w:pPr>
              <w:rPr>
                <w:rStyle w:val="DefaultParagraphFont"/>
                <w:sz w:val="22"/>
                <w:szCs w:val="22"/>
                <w:lang w:val="en-US" w:eastAsia="en-US" w:bidi="ar-SA"/>
              </w:rPr>
            </w:pPr>
          </w:p>
          <w:p w:rsidR="00A572D9" w:rsidP="00A572D9" w14:paraId="3FADD827" w14:textId="77777777">
            <w:pPr>
              <w:rPr>
                <w:rStyle w:val="DefaultParagraphFont"/>
                <w:sz w:val="22"/>
                <w:szCs w:val="22"/>
                <w:lang w:val="en-US" w:eastAsia="en-US" w:bidi="ar-SA"/>
              </w:rPr>
            </w:pPr>
            <w:r>
              <w:rPr>
                <w:sz w:val="22"/>
                <w:szCs w:val="22"/>
                <w:lang w:val="en-US" w:eastAsia="en-US" w:bidi="ar-SA"/>
              </w:rPr>
              <w:t xml:space="preserve">Consistent with the Commission’s decision in a companion order adopted today to require electronic delivery of carriage election notices, the Notice of Proposed Rulemaking proposes to require that notices from a cable operator to a broadcast TV station be delivered via email to an inbox designated by the station in the online public inspection file (OPIF).  The Notice seeks comment on whether satellite TV providers similarly should be required to use email to deliver notices to broadcast TV stations.  </w:t>
            </w:r>
          </w:p>
          <w:p w:rsidR="00A572D9" w:rsidP="00A572D9" w14:paraId="0B4A19D3" w14:textId="77777777">
            <w:pPr>
              <w:rPr>
                <w:rStyle w:val="DefaultParagraphFont"/>
                <w:sz w:val="22"/>
                <w:szCs w:val="22"/>
                <w:lang w:val="en-US" w:eastAsia="en-US" w:bidi="ar-SA"/>
              </w:rPr>
            </w:pPr>
          </w:p>
          <w:p w:rsidR="00A572D9" w:rsidRPr="00FF7095" w:rsidP="00A572D9" w14:paraId="34CD7C55" w14:textId="77777777">
            <w:pPr>
              <w:rPr>
                <w:rStyle w:val="Hyperlink"/>
                <w:color w:val="auto"/>
                <w:sz w:val="22"/>
                <w:szCs w:val="22"/>
                <w:u w:val="none"/>
                <w:lang w:val="en-US" w:eastAsia="en-US" w:bidi="ar-SA"/>
              </w:rPr>
            </w:pPr>
            <w:r>
              <w:rPr>
                <w:sz w:val="22"/>
                <w:szCs w:val="22"/>
                <w:lang w:val="en-US" w:eastAsia="en-US" w:bidi="ar-SA"/>
              </w:rPr>
              <w:t>In addition, the NPRM seeks comment on whether and how the proposal to require electronic delivery of notices can be applied to certain low power TV and noncommercial translator stations that are not required to maintain an OPIF</w:t>
            </w:r>
            <w:r w:rsidRPr="000C7E73">
              <w:rPr>
                <w:sz w:val="22"/>
                <w:szCs w:val="22"/>
                <w:lang w:val="en-US" w:eastAsia="en-US" w:bidi="ar-SA"/>
              </w:rPr>
              <w:t>.</w:t>
            </w:r>
            <w:r>
              <w:rPr>
                <w:sz w:val="22"/>
                <w:szCs w:val="22"/>
                <w:lang w:val="en-US" w:eastAsia="en-US" w:bidi="ar-SA"/>
              </w:rPr>
              <w:t xml:space="preserve">  </w:t>
            </w:r>
            <w:r w:rsidRPr="00FF7095">
              <w:rPr>
                <w:sz w:val="22"/>
                <w:szCs w:val="22"/>
                <w:lang w:val="en-US" w:eastAsia="en-US" w:bidi="ar-SA"/>
              </w:rPr>
              <w:t xml:space="preserve">Today’s proceeding is the </w:t>
            </w:r>
            <w:r>
              <w:rPr>
                <w:sz w:val="22"/>
                <w:szCs w:val="22"/>
                <w:lang w:val="en-US" w:eastAsia="en-US" w:bidi="ar-SA"/>
              </w:rPr>
              <w:t>fifteenth</w:t>
            </w:r>
            <w:r w:rsidRPr="00FF7095">
              <w:rPr>
                <w:sz w:val="22"/>
                <w:szCs w:val="22"/>
                <w:lang w:val="en-US" w:eastAsia="en-US" w:bidi="ar-SA"/>
              </w:rPr>
              <w:t xml:space="preserve"> in the Commission’s ongoing effort to modernize its rules by eliminating or modifying regulations that are outdated, unnecessary, or unduly burdensome.</w:t>
            </w:r>
          </w:p>
          <w:p w:rsidR="00A572D9" w:rsidRPr="00CA7C85" w:rsidP="00A572D9" w14:paraId="4A27AA10" w14:textId="77777777">
            <w:pPr>
              <w:rPr>
                <w:rStyle w:val="DefaultParagraphFont"/>
                <w:b/>
                <w:sz w:val="22"/>
                <w:szCs w:val="22"/>
                <w:lang w:val="en-US" w:eastAsia="en-US" w:bidi="ar-SA"/>
              </w:rPr>
            </w:pPr>
          </w:p>
          <w:p w:rsidR="004A30FC" w:rsidRPr="004A30FC" w:rsidP="004A30FC" w14:paraId="3589E1C0" w14:textId="6BCA3EC5">
            <w:pPr>
              <w:rPr>
                <w:rStyle w:val="DefaultParagraphFont"/>
                <w:sz w:val="22"/>
                <w:szCs w:val="22"/>
                <w:lang w:val="en-US" w:eastAsia="en-US" w:bidi="ar-SA"/>
              </w:rPr>
            </w:pPr>
            <w:r w:rsidRPr="004A30FC">
              <w:rPr>
                <w:sz w:val="22"/>
                <w:szCs w:val="22"/>
                <w:lang w:val="en-US" w:eastAsia="en-US" w:bidi="ar-SA"/>
              </w:rPr>
              <w:t>Action by the Commission July 10, 2019 by Notice of Proposed Rulemaking (FCC 19-</w:t>
            </w:r>
            <w:r>
              <w:rPr>
                <w:sz w:val="22"/>
                <w:szCs w:val="22"/>
                <w:lang w:val="en-US" w:eastAsia="en-US" w:bidi="ar-SA"/>
              </w:rPr>
              <w:t>68</w:t>
            </w:r>
            <w:r w:rsidRPr="004A30FC">
              <w:rPr>
                <w:sz w:val="22"/>
                <w:szCs w:val="22"/>
                <w:lang w:val="en-US" w:eastAsia="en-US" w:bidi="ar-SA"/>
              </w:rPr>
              <w:t>).  Chairman Pai, Commissioners O’Rielly, Carr, Rosenworcel, and Starks approving.  Chairman Pai, Commissioners O’Rielly and Rosenworcel issuing separate statements.</w:t>
            </w:r>
          </w:p>
          <w:p w:rsidR="004A30FC" w:rsidP="00A572D9" w14:paraId="010726EC" w14:textId="77777777">
            <w:pPr>
              <w:rPr>
                <w:rStyle w:val="DefaultParagraphFont"/>
                <w:sz w:val="22"/>
                <w:szCs w:val="22"/>
                <w:lang w:val="en-US" w:eastAsia="en-US" w:bidi="ar-SA"/>
              </w:rPr>
            </w:pPr>
          </w:p>
          <w:p w:rsidR="00A572D9" w:rsidRPr="001C453E" w:rsidP="00A572D9" w14:paraId="40F1DD24" w14:textId="72DF7136">
            <w:pPr>
              <w:rPr>
                <w:rStyle w:val="DefaultParagraphFont"/>
                <w:sz w:val="22"/>
                <w:szCs w:val="22"/>
                <w:lang w:val="en-US" w:eastAsia="en-US" w:bidi="ar-SA"/>
              </w:rPr>
            </w:pPr>
            <w:r w:rsidRPr="001C453E">
              <w:rPr>
                <w:sz w:val="22"/>
                <w:szCs w:val="22"/>
                <w:lang w:val="en-US" w:eastAsia="en-US" w:bidi="ar-SA"/>
              </w:rPr>
              <w:t>MB Docket No</w:t>
            </w:r>
            <w:r>
              <w:rPr>
                <w:sz w:val="22"/>
                <w:szCs w:val="22"/>
                <w:lang w:val="en-US" w:eastAsia="en-US" w:bidi="ar-SA"/>
              </w:rPr>
              <w:t>s</w:t>
            </w:r>
            <w:r w:rsidRPr="001C453E">
              <w:rPr>
                <w:sz w:val="22"/>
                <w:szCs w:val="22"/>
                <w:lang w:val="en-US" w:eastAsia="en-US" w:bidi="ar-SA"/>
              </w:rPr>
              <w:t xml:space="preserve">. </w:t>
            </w:r>
            <w:r>
              <w:rPr>
                <w:sz w:val="22"/>
                <w:szCs w:val="22"/>
                <w:lang w:val="en-US" w:eastAsia="en-US" w:bidi="ar-SA"/>
              </w:rPr>
              <w:t xml:space="preserve">19-165, </w:t>
            </w:r>
            <w:r w:rsidRPr="001C453E">
              <w:rPr>
                <w:sz w:val="22"/>
                <w:szCs w:val="22"/>
                <w:lang w:val="en-US" w:eastAsia="en-US" w:bidi="ar-SA"/>
              </w:rPr>
              <w:t xml:space="preserve">17-105 </w:t>
            </w:r>
          </w:p>
          <w:p w:rsidR="00BD19E8" w:rsidRPr="002E165B" w:rsidP="002E165B" w14:paraId="19BD80F4" w14:textId="77777777">
            <w:pPr>
              <w:rPr>
                <w:rStyle w:val="DefaultParagraphFont"/>
                <w:sz w:val="22"/>
                <w:szCs w:val="22"/>
                <w:lang w:val="en-US" w:eastAsia="en-US" w:bidi="ar-SA"/>
              </w:rPr>
            </w:pPr>
          </w:p>
          <w:p w:rsidR="004F0F1F" w:rsidRPr="007475A1" w:rsidP="00850E26" w14:paraId="1608C013" w14:textId="77777777">
            <w:pPr>
              <w:ind w:right="72"/>
              <w:jc w:val="center"/>
              <w:rPr>
                <w:rStyle w:val="DefaultParagraphFont"/>
                <w:sz w:val="22"/>
                <w:szCs w:val="22"/>
                <w:lang w:val="en-US" w:eastAsia="en-US" w:bidi="ar-SA"/>
              </w:rPr>
            </w:pPr>
            <w:r w:rsidRPr="007475A1">
              <w:rPr>
                <w:sz w:val="22"/>
                <w:szCs w:val="22"/>
                <w:lang w:val="en-US" w:eastAsia="en-US" w:bidi="ar-SA"/>
              </w:rPr>
              <w:t>###</w:t>
            </w:r>
          </w:p>
          <w:p w:rsidR="00CC5E08" w:rsidRPr="0080486B" w:rsidP="00850E26" w14:paraId="68BD4B8D" w14:textId="77777777">
            <w:pPr>
              <w:ind w:right="72"/>
              <w:jc w:val="center"/>
              <w:rPr>
                <w:rStyle w:val="Hyperlink"/>
                <w:b/>
                <w:bCs/>
                <w:color w:val="auto"/>
                <w:sz w:val="17"/>
                <w:szCs w:val="17"/>
                <w:u w:val="single"/>
                <w:lang w:val="en-US" w:eastAsia="en-US" w:bidi="ar-SA"/>
              </w:rPr>
            </w:pPr>
            <w:r w:rsidRPr="004A729A">
              <w:rPr>
                <w:b/>
                <w:bCs/>
                <w:sz w:val="22"/>
                <w:szCs w:val="22"/>
                <w:lang w:val="en-US" w:eastAsia="en-US" w:bidi="ar-SA"/>
              </w:rPr>
              <w:br/>
            </w:r>
            <w:r w:rsidRPr="0080486B" w:rsidR="00AD0D19">
              <w:rPr>
                <w:b/>
                <w:bCs/>
                <w:sz w:val="17"/>
                <w:szCs w:val="17"/>
                <w:lang w:val="en-US" w:eastAsia="en-US" w:bidi="ar-SA"/>
              </w:rPr>
              <w:t xml:space="preserve">Media Relations: </w:t>
            </w:r>
            <w:r w:rsidRPr="0080486B" w:rsidR="00AC0A38">
              <w:rPr>
                <w:b/>
                <w:bCs/>
                <w:sz w:val="17"/>
                <w:szCs w:val="17"/>
                <w:lang w:val="en-US" w:eastAsia="en-US" w:bidi="ar-SA"/>
              </w:rPr>
              <w:t xml:space="preserve">(202) </w:t>
            </w:r>
            <w:r w:rsidRPr="0080486B" w:rsidR="00AD0D19">
              <w:rPr>
                <w:b/>
                <w:bCs/>
                <w:sz w:val="17"/>
                <w:szCs w:val="17"/>
                <w:lang w:val="en-US" w:eastAsia="en-US" w:bidi="ar-SA"/>
              </w:rPr>
              <w:t>418-</w:t>
            </w:r>
            <w:r w:rsidRPr="0080486B">
              <w:rPr>
                <w:b/>
                <w:bCs/>
                <w:sz w:val="17"/>
                <w:szCs w:val="17"/>
                <w:lang w:val="en-US" w:eastAsia="en-US" w:bidi="ar-SA"/>
              </w:rPr>
              <w:t>0500</w:t>
            </w:r>
            <w:r w:rsidRPr="0080486B" w:rsidR="0080486B">
              <w:rPr>
                <w:b/>
                <w:bCs/>
                <w:sz w:val="17"/>
                <w:szCs w:val="17"/>
                <w:lang w:val="en-US" w:eastAsia="en-US" w:bidi="ar-SA"/>
              </w:rPr>
              <w:t xml:space="preserve"> / </w:t>
            </w:r>
            <w:r w:rsidRPr="0080486B" w:rsidR="00850E26">
              <w:rPr>
                <w:b/>
                <w:bCs/>
                <w:sz w:val="17"/>
                <w:szCs w:val="17"/>
                <w:lang w:val="en-US" w:eastAsia="en-US" w:bidi="ar-SA"/>
              </w:rPr>
              <w:t>ASL</w:t>
            </w:r>
            <w:r w:rsidRPr="0080486B" w:rsidR="00A81700">
              <w:rPr>
                <w:b/>
                <w:bCs/>
                <w:sz w:val="17"/>
                <w:szCs w:val="17"/>
                <w:lang w:val="en-US" w:eastAsia="en-US" w:bidi="ar-SA"/>
              </w:rPr>
              <w:t xml:space="preserve">: (844) </w:t>
            </w:r>
            <w:r w:rsidRPr="0080486B" w:rsidR="00850E26">
              <w:rPr>
                <w:b/>
                <w:bCs/>
                <w:sz w:val="17"/>
                <w:szCs w:val="17"/>
                <w:lang w:val="en-US" w:eastAsia="en-US" w:bidi="ar-SA"/>
              </w:rPr>
              <w:t>432-2275</w:t>
            </w:r>
            <w:r w:rsidRPr="0080486B" w:rsidR="0080486B">
              <w:rPr>
                <w:b/>
                <w:bCs/>
                <w:sz w:val="17"/>
                <w:szCs w:val="17"/>
                <w:lang w:val="en-US" w:eastAsia="en-US" w:bidi="ar-SA"/>
              </w:rPr>
              <w:t xml:space="preserve"> / </w:t>
            </w:r>
            <w:r w:rsidRPr="0080486B">
              <w:rPr>
                <w:b/>
                <w:bCs/>
                <w:sz w:val="17"/>
                <w:szCs w:val="17"/>
                <w:lang w:val="en-US" w:eastAsia="en-US" w:bidi="ar-SA"/>
              </w:rPr>
              <w:t xml:space="preserve">TTY: </w:t>
            </w:r>
            <w:r w:rsidRPr="0080486B" w:rsidR="00AC0A38">
              <w:rPr>
                <w:b/>
                <w:bCs/>
                <w:sz w:val="17"/>
                <w:szCs w:val="17"/>
                <w:lang w:val="en-US" w:eastAsia="en-US" w:bidi="ar-SA"/>
              </w:rPr>
              <w:t xml:space="preserve">(888) </w:t>
            </w:r>
            <w:r w:rsidRPr="0080486B" w:rsidR="006E4A76">
              <w:rPr>
                <w:b/>
                <w:bCs/>
                <w:sz w:val="17"/>
                <w:szCs w:val="17"/>
                <w:lang w:val="en-US" w:eastAsia="en-US" w:bidi="ar-SA"/>
              </w:rPr>
              <w:t>835-5322</w:t>
            </w:r>
            <w:r w:rsidRPr="0080486B" w:rsidR="0080486B">
              <w:rPr>
                <w:b/>
                <w:bCs/>
                <w:sz w:val="17"/>
                <w:szCs w:val="17"/>
                <w:lang w:val="en-US" w:eastAsia="en-US" w:bidi="ar-SA"/>
              </w:rPr>
              <w:t xml:space="preserve"> / </w:t>
            </w:r>
            <w:r w:rsidRPr="0080486B" w:rsidR="006A2FC5">
              <w:rPr>
                <w:b/>
                <w:bCs/>
                <w:sz w:val="17"/>
                <w:szCs w:val="17"/>
                <w:lang w:val="en-US" w:eastAsia="en-US" w:bidi="ar-SA"/>
              </w:rPr>
              <w:t>Twitter: @FCC</w:t>
            </w:r>
            <w:r w:rsidRPr="0080486B" w:rsidR="0080486B">
              <w:rPr>
                <w:b/>
                <w:bCs/>
                <w:sz w:val="17"/>
                <w:szCs w:val="17"/>
                <w:lang w:val="en-US" w:eastAsia="en-US" w:bidi="ar-SA"/>
              </w:rPr>
              <w:t xml:space="preserve"> / </w:t>
            </w:r>
            <w:r w:rsidRPr="0080486B" w:rsidR="00285C36">
              <w:rPr>
                <w:b/>
                <w:sz w:val="17"/>
                <w:szCs w:val="17"/>
                <w:lang w:val="en-US" w:eastAsia="en-US" w:bidi="ar-SA"/>
              </w:rPr>
              <w:t>www.fcc.gov</w:t>
            </w:r>
            <w:r w:rsidRPr="0080486B" w:rsidR="00285C36">
              <w:rPr>
                <w:b/>
                <w:bCs/>
                <w:sz w:val="17"/>
                <w:szCs w:val="17"/>
                <w:lang w:val="en-US" w:eastAsia="en-US" w:bidi="ar-SA"/>
              </w:rPr>
              <w:t xml:space="preserve"> </w:t>
            </w:r>
          </w:p>
          <w:p w:rsidR="0069420F" w:rsidRPr="00EE0E90" w:rsidP="00850E26" w14:paraId="41085855" w14:textId="77777777">
            <w:pPr>
              <w:ind w:right="72"/>
              <w:jc w:val="center"/>
              <w:rPr>
                <w:rStyle w:val="DefaultParagraphFont"/>
                <w:b/>
                <w:bCs/>
                <w:sz w:val="18"/>
                <w:szCs w:val="18"/>
                <w:lang w:val="en-US" w:eastAsia="en-US" w:bidi="ar-SA"/>
              </w:rPr>
            </w:pPr>
          </w:p>
          <w:p w:rsidR="00EE0E90" w:rsidRPr="00EF729B" w:rsidP="00850E26" w14:paraId="7831953C" w14:textId="77777777">
            <w:pPr>
              <w:ind w:right="72"/>
              <w:jc w:val="center"/>
              <w:rPr>
                <w:rStyle w:val="DefaultParagraphFont"/>
                <w:bCs/>
                <w:i/>
                <w:sz w:val="16"/>
                <w:szCs w:val="16"/>
                <w:lang w:val="en-US" w:eastAsia="en-US" w:bidi="ar-SA"/>
              </w:rPr>
            </w:pPr>
            <w:r w:rsidRPr="00EF729B">
              <w:rPr>
                <w:bCs/>
                <w:i/>
                <w:sz w:val="16"/>
                <w:szCs w:val="16"/>
                <w:lang w:val="en-US" w:eastAsia="en-US" w:bidi="ar-SA"/>
              </w:rPr>
              <w:t>This is an unofficial announcement of Commission action.  Release of the full text of a Commission order constitutes official action.  See MCI v. FCC, 515 F.2d 385 (D.C. Cir. 1974).</w:t>
            </w:r>
          </w:p>
        </w:tc>
      </w:tr>
    </w:tbl>
    <w:p w:rsidR="00D24C3D" w:rsidRPr="007528A5" w14:paraId="58516FE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C7E73"/>
    <w:rsid w:val="000E049E"/>
    <w:rsid w:val="001002DC"/>
    <w:rsid w:val="0010799B"/>
    <w:rsid w:val="00117DB2"/>
    <w:rsid w:val="00123ED2"/>
    <w:rsid w:val="00125BE0"/>
    <w:rsid w:val="00142C13"/>
    <w:rsid w:val="00152776"/>
    <w:rsid w:val="00153222"/>
    <w:rsid w:val="001577D3"/>
    <w:rsid w:val="001733A6"/>
    <w:rsid w:val="001865A9"/>
    <w:rsid w:val="00187DB2"/>
    <w:rsid w:val="001B20BB"/>
    <w:rsid w:val="001C4370"/>
    <w:rsid w:val="001C453E"/>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371C3"/>
    <w:rsid w:val="00347716"/>
    <w:rsid w:val="003506E1"/>
    <w:rsid w:val="003727E3"/>
    <w:rsid w:val="00385A93"/>
    <w:rsid w:val="003910F1"/>
    <w:rsid w:val="003E42FC"/>
    <w:rsid w:val="003E5324"/>
    <w:rsid w:val="003E5991"/>
    <w:rsid w:val="003E703E"/>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30FC"/>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4BA2"/>
    <w:rsid w:val="006D5D22"/>
    <w:rsid w:val="006E0324"/>
    <w:rsid w:val="006E4A76"/>
    <w:rsid w:val="006F1DBD"/>
    <w:rsid w:val="006F5522"/>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3A5A"/>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30C8"/>
    <w:rsid w:val="009B4B16"/>
    <w:rsid w:val="009E54A1"/>
    <w:rsid w:val="009F4E25"/>
    <w:rsid w:val="009F5B1F"/>
    <w:rsid w:val="00A225A9"/>
    <w:rsid w:val="00A3308E"/>
    <w:rsid w:val="00A35DFD"/>
    <w:rsid w:val="00A572D9"/>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A7C85"/>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0AD1"/>
    <w:rsid w:val="00FC6C29"/>
    <w:rsid w:val="00FD58E0"/>
    <w:rsid w:val="00FD71AE"/>
    <w:rsid w:val="00FE0198"/>
    <w:rsid w:val="00FE3A7C"/>
    <w:rsid w:val="00FF1C0B"/>
    <w:rsid w:val="00FF232D"/>
    <w:rsid w:val="00FF7095"/>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0EA3FD0-AA29-419D-A770-FBAD9AC9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