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6647D2BE" w14:textId="77777777" w:rsidTr="006D5D22">
        <w:tblPrEx>
          <w:tblW w:w="0" w:type="auto"/>
          <w:tblLook w:val="0000"/>
        </w:tblPrEx>
        <w:trPr>
          <w:trHeight w:val="2181"/>
        </w:trPr>
        <w:tc>
          <w:tcPr>
            <w:tcW w:w="8856" w:type="dxa"/>
          </w:tcPr>
          <w:p w:rsidR="00FF232D" w:rsidP="006A7D75" w14:paraId="5E16573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8742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A1C7E4C" w14:textId="77777777">
            <w:pPr>
              <w:rPr>
                <w:b/>
                <w:bCs/>
                <w:sz w:val="12"/>
                <w:szCs w:val="12"/>
              </w:rPr>
            </w:pPr>
          </w:p>
          <w:p w:rsidR="007A44F8" w:rsidRPr="008A3940" w:rsidP="00BB4E29" w14:paraId="5225EE9E" w14:textId="77777777">
            <w:pPr>
              <w:rPr>
                <w:b/>
                <w:bCs/>
                <w:sz w:val="22"/>
                <w:szCs w:val="22"/>
              </w:rPr>
            </w:pPr>
            <w:r w:rsidRPr="008A3940">
              <w:rPr>
                <w:b/>
                <w:bCs/>
                <w:sz w:val="22"/>
                <w:szCs w:val="22"/>
              </w:rPr>
              <w:t xml:space="preserve">Media Contact: </w:t>
            </w:r>
          </w:p>
          <w:p w:rsidR="00EB233C" w:rsidRPr="00EB233C" w:rsidP="00EB233C" w14:paraId="14400868" w14:textId="5C88E040">
            <w:pPr>
              <w:rPr>
                <w:bCs/>
                <w:sz w:val="22"/>
                <w:szCs w:val="22"/>
              </w:rPr>
            </w:pPr>
            <w:r w:rsidRPr="00EB233C">
              <w:rPr>
                <w:bCs/>
                <w:sz w:val="22"/>
                <w:szCs w:val="22"/>
              </w:rPr>
              <w:t>Neil Grace, (202) 418-050</w:t>
            </w:r>
            <w:r w:rsidR="00391858">
              <w:rPr>
                <w:bCs/>
                <w:sz w:val="22"/>
                <w:szCs w:val="22"/>
              </w:rPr>
              <w:t>6</w:t>
            </w:r>
            <w:bookmarkStart w:id="0" w:name="_GoBack"/>
            <w:bookmarkEnd w:id="0"/>
          </w:p>
          <w:p w:rsidR="007A44F8" w:rsidP="00EB233C" w14:paraId="778F2B8F" w14:textId="77777777">
            <w:pPr>
              <w:rPr>
                <w:bCs/>
                <w:sz w:val="22"/>
                <w:szCs w:val="22"/>
              </w:rPr>
            </w:pPr>
            <w:r w:rsidRPr="00EB233C">
              <w:rPr>
                <w:bCs/>
                <w:sz w:val="22"/>
                <w:szCs w:val="22"/>
              </w:rPr>
              <w:t>neil.grace@fcc.gov</w:t>
            </w:r>
          </w:p>
          <w:p w:rsidR="00EB233C" w:rsidRPr="008A3940" w:rsidP="00EB233C" w14:paraId="4A870C7A" w14:textId="77777777">
            <w:pPr>
              <w:rPr>
                <w:bCs/>
                <w:sz w:val="22"/>
                <w:szCs w:val="22"/>
              </w:rPr>
            </w:pPr>
          </w:p>
          <w:p w:rsidR="007A44F8" w:rsidRPr="008A3940" w:rsidP="00BB4E29" w14:paraId="39F68427" w14:textId="77777777">
            <w:pPr>
              <w:rPr>
                <w:b/>
                <w:sz w:val="22"/>
                <w:szCs w:val="22"/>
              </w:rPr>
            </w:pPr>
            <w:r w:rsidRPr="008A3940">
              <w:rPr>
                <w:b/>
                <w:sz w:val="22"/>
                <w:szCs w:val="22"/>
              </w:rPr>
              <w:t>For Immediate Release</w:t>
            </w:r>
          </w:p>
          <w:p w:rsidR="007A44F8" w:rsidRPr="004A729A" w:rsidP="00BB4E29" w14:paraId="4138B238" w14:textId="77777777">
            <w:pPr>
              <w:jc w:val="center"/>
              <w:rPr>
                <w:b/>
                <w:bCs/>
                <w:sz w:val="22"/>
                <w:szCs w:val="22"/>
              </w:rPr>
            </w:pPr>
          </w:p>
          <w:p w:rsidR="00EB233C" w:rsidRPr="00EB233C" w:rsidP="00EB233C" w14:paraId="3719F752" w14:textId="77777777">
            <w:pPr>
              <w:tabs>
                <w:tab w:val="left" w:pos="8625"/>
              </w:tabs>
              <w:jc w:val="center"/>
              <w:rPr>
                <w:b/>
                <w:bCs/>
                <w:sz w:val="26"/>
                <w:szCs w:val="26"/>
              </w:rPr>
            </w:pPr>
            <w:r w:rsidRPr="00EB233C">
              <w:rPr>
                <w:b/>
                <w:bCs/>
                <w:sz w:val="26"/>
                <w:szCs w:val="26"/>
              </w:rPr>
              <w:t xml:space="preserve">FCC STREAMLINES APPLICATION PROCESS FOR </w:t>
            </w:r>
          </w:p>
          <w:p w:rsidR="00CC5E08" w:rsidRPr="008A3940" w:rsidP="00EB233C" w14:paraId="7A31CA9E" w14:textId="77777777">
            <w:pPr>
              <w:tabs>
                <w:tab w:val="left" w:pos="8625"/>
              </w:tabs>
              <w:jc w:val="center"/>
              <w:rPr>
                <w:i/>
              </w:rPr>
            </w:pPr>
            <w:r w:rsidRPr="00EB233C">
              <w:rPr>
                <w:b/>
                <w:bCs/>
                <w:sz w:val="26"/>
                <w:szCs w:val="26"/>
              </w:rPr>
              <w:t>SMALL SATELLITES</w:t>
            </w:r>
          </w:p>
          <w:p w:rsidR="00F61155" w:rsidRPr="006B0A70" w:rsidP="00BB4E29" w14:paraId="63371AB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B233C" w:rsidRPr="00EB233C" w:rsidP="00EB233C" w14:paraId="5407C58D" w14:textId="56937EDF">
            <w:pPr>
              <w:rPr>
                <w:sz w:val="22"/>
                <w:szCs w:val="22"/>
              </w:rPr>
            </w:pPr>
            <w:r w:rsidRPr="002E165B">
              <w:rPr>
                <w:sz w:val="22"/>
                <w:szCs w:val="22"/>
              </w:rPr>
              <w:t xml:space="preserve">WASHINGTON, </w:t>
            </w:r>
            <w:r w:rsidRPr="00EB233C">
              <w:rPr>
                <w:sz w:val="22"/>
                <w:szCs w:val="22"/>
              </w:rPr>
              <w:t xml:space="preserve">August 1, 2019—The Federal Communications Commission today significantly streamlined the application process for a category of satellites known as small satellites.  </w:t>
            </w:r>
            <w:r w:rsidR="00871BEA">
              <w:rPr>
                <w:sz w:val="22"/>
                <w:szCs w:val="22"/>
              </w:rPr>
              <w:t>Its action provides</w:t>
            </w:r>
            <w:r w:rsidRPr="00EB233C">
              <w:rPr>
                <w:sz w:val="22"/>
                <w:szCs w:val="22"/>
              </w:rPr>
              <w:t xml:space="preserve"> an alternative, </w:t>
            </w:r>
            <w:r w:rsidR="0036314D">
              <w:rPr>
                <w:sz w:val="22"/>
                <w:szCs w:val="22"/>
              </w:rPr>
              <w:t>cheaper</w:t>
            </w:r>
            <w:r w:rsidRPr="00EB233C">
              <w:rPr>
                <w:sz w:val="22"/>
                <w:szCs w:val="22"/>
              </w:rPr>
              <w:t xml:space="preserve">, and </w:t>
            </w:r>
            <w:r w:rsidR="0036314D">
              <w:rPr>
                <w:sz w:val="22"/>
                <w:szCs w:val="22"/>
              </w:rPr>
              <w:t xml:space="preserve">more </w:t>
            </w:r>
            <w:r w:rsidRPr="00EB233C">
              <w:rPr>
                <w:sz w:val="22"/>
                <w:szCs w:val="22"/>
              </w:rPr>
              <w:t>flexible authorization process for this fast-growing segment of the commercial satellite communications market.</w:t>
            </w:r>
          </w:p>
          <w:p w:rsidR="00EB233C" w:rsidRPr="00EB233C" w:rsidP="00EB233C" w14:paraId="4932967A" w14:textId="77777777">
            <w:pPr>
              <w:rPr>
                <w:sz w:val="22"/>
                <w:szCs w:val="22"/>
              </w:rPr>
            </w:pPr>
          </w:p>
          <w:p w:rsidR="00EB233C" w:rsidRPr="00EB233C" w:rsidP="00EB233C" w14:paraId="34C3A182" w14:textId="3CDED137">
            <w:pPr>
              <w:rPr>
                <w:sz w:val="22"/>
                <w:szCs w:val="22"/>
              </w:rPr>
            </w:pPr>
            <w:r w:rsidRPr="00EB233C">
              <w:rPr>
                <w:sz w:val="22"/>
                <w:szCs w:val="22"/>
              </w:rPr>
              <w:t>Small satellite systems have myriad uses, including scientific and research missions</w:t>
            </w:r>
            <w:r w:rsidR="0036314D">
              <w:rPr>
                <w:sz w:val="22"/>
                <w:szCs w:val="22"/>
              </w:rPr>
              <w:t xml:space="preserve"> as well as </w:t>
            </w:r>
            <w:r w:rsidRPr="00EB233C">
              <w:rPr>
                <w:sz w:val="22"/>
                <w:szCs w:val="22"/>
              </w:rPr>
              <w:t>communications</w:t>
            </w:r>
            <w:r w:rsidR="00815A15">
              <w:rPr>
                <w:sz w:val="22"/>
                <w:szCs w:val="22"/>
              </w:rPr>
              <w:t xml:space="preserve"> and </w:t>
            </w:r>
            <w:r w:rsidRPr="00EB233C">
              <w:rPr>
                <w:sz w:val="22"/>
                <w:szCs w:val="22"/>
              </w:rPr>
              <w:t xml:space="preserve">remote sensing, and are now increasingly used for commercial endeavors.  Many small satellites are launched not as large constellations, but as part of small-scale operations consisting of a single satellite or only a few satellites. </w:t>
            </w:r>
            <w:r w:rsidR="00000F2D">
              <w:rPr>
                <w:sz w:val="22"/>
                <w:szCs w:val="22"/>
              </w:rPr>
              <w:t xml:space="preserve"> </w:t>
            </w:r>
            <w:r w:rsidRPr="00EB233C">
              <w:rPr>
                <w:sz w:val="22"/>
                <w:szCs w:val="22"/>
              </w:rPr>
              <w:t xml:space="preserve">This new licensing process is optional and intended to cover these types of smaller-scale operations rather than the large constellations of satellites that are planning to provide broadband service or other satellite systems that require constant spectrum availability. </w:t>
            </w:r>
          </w:p>
          <w:p w:rsidR="00EB233C" w:rsidRPr="00EB233C" w:rsidP="00EB233C" w14:paraId="5017D43D" w14:textId="77777777">
            <w:pPr>
              <w:rPr>
                <w:sz w:val="22"/>
                <w:szCs w:val="22"/>
              </w:rPr>
            </w:pPr>
          </w:p>
          <w:p w:rsidR="00EB233C" w:rsidRPr="00EB233C" w:rsidP="00EB233C" w14:paraId="3D360419" w14:textId="18185E12">
            <w:pPr>
              <w:rPr>
                <w:sz w:val="22"/>
                <w:szCs w:val="22"/>
              </w:rPr>
            </w:pPr>
            <w:r w:rsidRPr="00EB233C">
              <w:rPr>
                <w:sz w:val="22"/>
                <w:szCs w:val="22"/>
              </w:rPr>
              <w:t xml:space="preserve">Given recent innovation in the small satellite sector and the increasing number of commercial operations, the regulations adopted today set out a new optional authorization process, within Part 25 of the Commission’s rules, to govern satellite licensing that is tailored to small satellite operations.  The new process addresses current needs in this evolving industry sector, as technological developments </w:t>
            </w:r>
            <w:r w:rsidR="00CA2699">
              <w:rPr>
                <w:sz w:val="22"/>
                <w:szCs w:val="22"/>
              </w:rPr>
              <w:t xml:space="preserve">have </w:t>
            </w:r>
            <w:r w:rsidRPr="00EB233C">
              <w:rPr>
                <w:sz w:val="22"/>
                <w:szCs w:val="22"/>
              </w:rPr>
              <w:t xml:space="preserve">outpaced existing Commission licensing rules and processes.  </w:t>
            </w:r>
          </w:p>
          <w:p w:rsidR="00EB233C" w:rsidRPr="00EB233C" w:rsidP="00EB233C" w14:paraId="5C48080D" w14:textId="77777777">
            <w:pPr>
              <w:rPr>
                <w:sz w:val="22"/>
                <w:szCs w:val="22"/>
              </w:rPr>
            </w:pPr>
          </w:p>
          <w:p w:rsidR="00EB233C" w:rsidRPr="00EB233C" w:rsidP="00EB233C" w14:paraId="5269B3D0" w14:textId="468062D2">
            <w:pPr>
              <w:rPr>
                <w:sz w:val="22"/>
                <w:szCs w:val="22"/>
              </w:rPr>
            </w:pPr>
            <w:r w:rsidRPr="00EB233C">
              <w:rPr>
                <w:sz w:val="22"/>
                <w:szCs w:val="22"/>
              </w:rPr>
              <w:t xml:space="preserve">Specifically, this decision allows for a new, optional process to be used by satellites with certain characteristics, such as having a short on-orbit lifetime, </w:t>
            </w:r>
            <w:r w:rsidR="00577996">
              <w:rPr>
                <w:sz w:val="22"/>
                <w:szCs w:val="22"/>
              </w:rPr>
              <w:t xml:space="preserve">a maximum wet mass of 180 kilograms, </w:t>
            </w:r>
            <w:r w:rsidRPr="00EB233C">
              <w:rPr>
                <w:sz w:val="22"/>
                <w:szCs w:val="22"/>
              </w:rPr>
              <w:t>and</w:t>
            </w:r>
            <w:r w:rsidR="00577996">
              <w:rPr>
                <w:sz w:val="22"/>
                <w:szCs w:val="22"/>
              </w:rPr>
              <w:t xml:space="preserve"> </w:t>
            </w:r>
            <w:r w:rsidRPr="00EB233C">
              <w:rPr>
                <w:sz w:val="22"/>
                <w:szCs w:val="22"/>
              </w:rPr>
              <w:t xml:space="preserve">having a mission profile </w:t>
            </w:r>
            <w:r w:rsidR="00577996">
              <w:rPr>
                <w:sz w:val="22"/>
                <w:szCs w:val="22"/>
              </w:rPr>
              <w:t>designed to produce</w:t>
            </w:r>
            <w:r w:rsidRPr="00EB233C">
              <w:rPr>
                <w:sz w:val="22"/>
                <w:szCs w:val="22"/>
              </w:rPr>
              <w:t xml:space="preserve"> a low risk of orbital debris</w:t>
            </w:r>
            <w:r w:rsidR="00577996">
              <w:rPr>
                <w:sz w:val="22"/>
                <w:szCs w:val="22"/>
              </w:rPr>
              <w:t xml:space="preserve"> and spectrum interference</w:t>
            </w:r>
            <w:r w:rsidRPr="00EB233C">
              <w:rPr>
                <w:sz w:val="22"/>
                <w:szCs w:val="22"/>
              </w:rPr>
              <w:t xml:space="preserve">.   </w:t>
            </w:r>
          </w:p>
          <w:p w:rsidR="00EB233C" w:rsidRPr="00EB233C" w:rsidP="00EB233C" w14:paraId="3C240B47" w14:textId="77777777">
            <w:pPr>
              <w:rPr>
                <w:sz w:val="22"/>
                <w:szCs w:val="22"/>
              </w:rPr>
            </w:pPr>
          </w:p>
          <w:p w:rsidR="00EB233C" w:rsidRPr="00EB233C" w:rsidP="00EB233C" w14:paraId="4DD17F07" w14:textId="77777777">
            <w:pPr>
              <w:rPr>
                <w:sz w:val="22"/>
                <w:szCs w:val="22"/>
              </w:rPr>
            </w:pPr>
            <w:r w:rsidRPr="00EB233C">
              <w:rPr>
                <w:sz w:val="22"/>
                <w:szCs w:val="22"/>
              </w:rPr>
              <w:t xml:space="preserve">Today’s action also adopts a new application fee category for small satellite applicants seeking a U.S. license or access to the U.S. market, and adopts a new small satellite regulatory fee category.  </w:t>
            </w:r>
          </w:p>
          <w:p w:rsidR="00EB233C" w:rsidRPr="00EB233C" w:rsidP="00EB233C" w14:paraId="79032062" w14:textId="77777777">
            <w:pPr>
              <w:rPr>
                <w:sz w:val="22"/>
                <w:szCs w:val="22"/>
              </w:rPr>
            </w:pPr>
          </w:p>
          <w:p w:rsidR="00D97BB5" w:rsidRPr="00D97BB5" w:rsidP="00D97BB5" w14:paraId="5AD70392" w14:textId="08DE31D8">
            <w:pPr>
              <w:rPr>
                <w:sz w:val="22"/>
                <w:szCs w:val="22"/>
              </w:rPr>
            </w:pPr>
            <w:r w:rsidRPr="00D97BB5">
              <w:rPr>
                <w:sz w:val="22"/>
                <w:szCs w:val="22"/>
              </w:rPr>
              <w:t>Action by the Commission August 1, 2019 by Report and Order (FCC 19-81).  Chairman Pai, Commissioners O’Rielly, Carr, Rosenworcel, and Starks approving</w:t>
            </w:r>
            <w:r>
              <w:rPr>
                <w:sz w:val="22"/>
                <w:szCs w:val="22"/>
              </w:rPr>
              <w:t xml:space="preserve"> and</w:t>
            </w:r>
            <w:r w:rsidRPr="00D97BB5">
              <w:rPr>
                <w:sz w:val="22"/>
                <w:szCs w:val="22"/>
              </w:rPr>
              <w:t xml:space="preserve"> issuing separate statements.</w:t>
            </w:r>
          </w:p>
          <w:p w:rsidR="00D97BB5" w:rsidRPr="00D97BB5" w:rsidP="00D97BB5" w14:paraId="05B0CF2F" w14:textId="77777777">
            <w:pPr>
              <w:rPr>
                <w:sz w:val="22"/>
                <w:szCs w:val="22"/>
              </w:rPr>
            </w:pPr>
          </w:p>
          <w:p w:rsidR="00EB233C" w:rsidP="00D97BB5" w14:paraId="3FB34154" w14:textId="52948F78">
            <w:pPr>
              <w:rPr>
                <w:sz w:val="22"/>
                <w:szCs w:val="22"/>
              </w:rPr>
            </w:pPr>
            <w:r w:rsidRPr="00D97BB5">
              <w:rPr>
                <w:sz w:val="22"/>
                <w:szCs w:val="22"/>
              </w:rPr>
              <w:t>IB Docket No. 18-86</w:t>
            </w:r>
          </w:p>
          <w:p w:rsidR="00D97BB5" w:rsidRPr="002E165B" w:rsidP="00D97BB5" w14:paraId="2850D5C6" w14:textId="77777777">
            <w:pPr>
              <w:rPr>
                <w:sz w:val="22"/>
                <w:szCs w:val="22"/>
              </w:rPr>
            </w:pPr>
          </w:p>
          <w:p w:rsidR="004F0F1F" w:rsidRPr="007475A1" w:rsidP="00850E26" w14:paraId="5ADE08A2" w14:textId="77777777">
            <w:pPr>
              <w:ind w:right="72"/>
              <w:jc w:val="center"/>
              <w:rPr>
                <w:sz w:val="22"/>
                <w:szCs w:val="22"/>
              </w:rPr>
            </w:pPr>
            <w:r w:rsidRPr="007475A1">
              <w:rPr>
                <w:sz w:val="22"/>
                <w:szCs w:val="22"/>
              </w:rPr>
              <w:t>###</w:t>
            </w:r>
          </w:p>
          <w:p w:rsidR="00CC5E08" w:rsidRPr="0080486B" w:rsidP="00850E26" w14:paraId="12FE15E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89A2936" w14:textId="77777777">
            <w:pPr>
              <w:ind w:right="72"/>
              <w:jc w:val="center"/>
              <w:rPr>
                <w:b/>
                <w:bCs/>
                <w:sz w:val="18"/>
                <w:szCs w:val="18"/>
              </w:rPr>
            </w:pPr>
          </w:p>
          <w:p w:rsidR="00EE0E90" w:rsidRPr="00EF729B" w:rsidP="00850E26" w14:paraId="0D2BD99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C6CAF2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F2D"/>
    <w:rsid w:val="0002500C"/>
    <w:rsid w:val="000311FC"/>
    <w:rsid w:val="00040127"/>
    <w:rsid w:val="00065E2D"/>
    <w:rsid w:val="00081232"/>
    <w:rsid w:val="00083EF7"/>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C61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314D"/>
    <w:rsid w:val="003727E3"/>
    <w:rsid w:val="00385A93"/>
    <w:rsid w:val="003910F1"/>
    <w:rsid w:val="00391858"/>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77996"/>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15A15"/>
    <w:rsid w:val="008169B1"/>
    <w:rsid w:val="008215E7"/>
    <w:rsid w:val="00830FC6"/>
    <w:rsid w:val="00850E26"/>
    <w:rsid w:val="00865EAA"/>
    <w:rsid w:val="00866F06"/>
    <w:rsid w:val="00871BEA"/>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10531"/>
    <w:rsid w:val="00C31ED8"/>
    <w:rsid w:val="00C432E4"/>
    <w:rsid w:val="00C47E75"/>
    <w:rsid w:val="00C70C26"/>
    <w:rsid w:val="00C72001"/>
    <w:rsid w:val="00C772B7"/>
    <w:rsid w:val="00C80347"/>
    <w:rsid w:val="00CA2699"/>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BB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33C"/>
    <w:rsid w:val="00EE0E90"/>
    <w:rsid w:val="00EF3BCA"/>
    <w:rsid w:val="00EF729B"/>
    <w:rsid w:val="00EF7D90"/>
    <w:rsid w:val="00F01B0D"/>
    <w:rsid w:val="00F1238F"/>
    <w:rsid w:val="00F16485"/>
    <w:rsid w:val="00F228ED"/>
    <w:rsid w:val="00F2654A"/>
    <w:rsid w:val="00F26E31"/>
    <w:rsid w:val="00F27C6C"/>
    <w:rsid w:val="00F34A8D"/>
    <w:rsid w:val="00F50D25"/>
    <w:rsid w:val="00F535D8"/>
    <w:rsid w:val="00F61155"/>
    <w:rsid w:val="00F708E3"/>
    <w:rsid w:val="00F74581"/>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DE6E4D5-0C73-4413-B083-1146C25A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169B1"/>
    <w:rPr>
      <w:rFonts w:ascii="Segoe UI" w:hAnsi="Segoe UI" w:cs="Segoe UI"/>
      <w:sz w:val="18"/>
      <w:szCs w:val="18"/>
    </w:rPr>
  </w:style>
  <w:style w:type="character" w:customStyle="1" w:styleId="BalloonTextChar">
    <w:name w:val="Balloon Text Char"/>
    <w:basedOn w:val="DefaultParagraphFont"/>
    <w:link w:val="BalloonText"/>
    <w:semiHidden/>
    <w:rsid w:val="008169B1"/>
    <w:rPr>
      <w:rFonts w:ascii="Segoe UI" w:hAnsi="Segoe UI" w:cs="Segoe UI"/>
      <w:sz w:val="18"/>
      <w:szCs w:val="18"/>
    </w:rPr>
  </w:style>
  <w:style w:type="character" w:styleId="CommentReference">
    <w:name w:val="annotation reference"/>
    <w:basedOn w:val="DefaultParagraphFont"/>
    <w:semiHidden/>
    <w:unhideWhenUsed/>
    <w:rsid w:val="00F2654A"/>
    <w:rPr>
      <w:sz w:val="16"/>
      <w:szCs w:val="16"/>
    </w:rPr>
  </w:style>
  <w:style w:type="paragraph" w:styleId="CommentText">
    <w:name w:val="annotation text"/>
    <w:basedOn w:val="Normal"/>
    <w:link w:val="CommentTextChar"/>
    <w:semiHidden/>
    <w:unhideWhenUsed/>
    <w:rsid w:val="00F2654A"/>
    <w:rPr>
      <w:sz w:val="20"/>
      <w:szCs w:val="20"/>
    </w:rPr>
  </w:style>
  <w:style w:type="character" w:customStyle="1" w:styleId="CommentTextChar">
    <w:name w:val="Comment Text Char"/>
    <w:basedOn w:val="DefaultParagraphFont"/>
    <w:link w:val="CommentText"/>
    <w:semiHidden/>
    <w:rsid w:val="00F2654A"/>
  </w:style>
  <w:style w:type="paragraph" w:styleId="CommentSubject">
    <w:name w:val="annotation subject"/>
    <w:basedOn w:val="CommentText"/>
    <w:next w:val="CommentText"/>
    <w:link w:val="CommentSubjectChar"/>
    <w:semiHidden/>
    <w:unhideWhenUsed/>
    <w:rsid w:val="00F2654A"/>
    <w:rPr>
      <w:b/>
      <w:bCs/>
    </w:rPr>
  </w:style>
  <w:style w:type="character" w:customStyle="1" w:styleId="CommentSubjectChar">
    <w:name w:val="Comment Subject Char"/>
    <w:basedOn w:val="CommentTextChar"/>
    <w:link w:val="CommentSubject"/>
    <w:semiHidden/>
    <w:rsid w:val="00F26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