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E2F86C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E40512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7812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476C36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331CA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2DF5BD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 Wigfield,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5DD3BFF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F77632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016A6C" w14:paraId="4223D0DE" w14:textId="77777777">
            <w:pPr>
              <w:spacing w:after="160"/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310BE9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46CC746" w14:textId="331578C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GRANTS RELIEF FROM OUTDATED </w:t>
            </w:r>
            <w:r w:rsidR="001D0B16">
              <w:rPr>
                <w:b/>
                <w:bCs/>
                <w:sz w:val="26"/>
                <w:szCs w:val="26"/>
              </w:rPr>
              <w:t>AND BURDENSOME</w:t>
            </w:r>
            <w:r w:rsidR="00AA16A1">
              <w:rPr>
                <w:b/>
                <w:bCs/>
                <w:sz w:val="26"/>
                <w:szCs w:val="26"/>
              </w:rPr>
              <w:t xml:space="preserve"> REGULATIONS </w:t>
            </w:r>
            <w:r>
              <w:rPr>
                <w:b/>
                <w:bCs/>
                <w:sz w:val="26"/>
                <w:szCs w:val="26"/>
              </w:rPr>
              <w:t xml:space="preserve">GOVERNING PLAIN OLD </w:t>
            </w:r>
            <w:r w:rsidR="005971E0">
              <w:rPr>
                <w:b/>
                <w:bCs/>
                <w:sz w:val="26"/>
                <w:szCs w:val="26"/>
              </w:rPr>
              <w:t>TELE</w:t>
            </w:r>
            <w:r>
              <w:rPr>
                <w:b/>
                <w:bCs/>
                <w:sz w:val="26"/>
                <w:szCs w:val="26"/>
              </w:rPr>
              <w:t>PHONE SERVICE</w:t>
            </w:r>
            <w:r w:rsidR="002C7F0F">
              <w:rPr>
                <w:b/>
                <w:bCs/>
                <w:sz w:val="26"/>
                <w:szCs w:val="26"/>
              </w:rPr>
              <w:t xml:space="preserve"> </w:t>
            </w:r>
          </w:p>
          <w:p w:rsidR="0015414E" w:rsidP="00BB4E29" w14:paraId="3C25C496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Re</w:t>
            </w:r>
            <w:r w:rsidR="002C7F0F">
              <w:rPr>
                <w:b/>
                <w:bCs/>
                <w:i/>
              </w:rPr>
              <w:t>sponds to Sweeping Change in Voice Services</w:t>
            </w:r>
            <w:r w:rsidR="0038095D">
              <w:rPr>
                <w:b/>
                <w:bCs/>
                <w:i/>
              </w:rPr>
              <w:t xml:space="preserve"> Market and Speeds Transition to Next-Generation Networks</w:t>
            </w:r>
          </w:p>
          <w:p w:rsidR="00F61155" w:rsidRPr="006B0A70" w:rsidP="00BB4E29" w14:paraId="0FF3878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466AE" w:rsidP="00040127" w14:paraId="4B15CBD1" w14:textId="12F969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363033">
              <w:rPr>
                <w:sz w:val="22"/>
                <w:szCs w:val="22"/>
              </w:rPr>
              <w:t xml:space="preserve">August </w:t>
            </w:r>
            <w:r w:rsidR="001A15EE">
              <w:rPr>
                <w:sz w:val="22"/>
                <w:szCs w:val="22"/>
              </w:rPr>
              <w:t>2</w:t>
            </w:r>
            <w:r w:rsidRPr="00363033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15414E">
              <w:rPr>
                <w:sz w:val="22"/>
                <w:szCs w:val="22"/>
              </w:rPr>
              <w:t xml:space="preserve">Recognizing </w:t>
            </w:r>
            <w:r w:rsidR="002C7F0F">
              <w:rPr>
                <w:sz w:val="22"/>
                <w:szCs w:val="22"/>
              </w:rPr>
              <w:t>sweeping change</w:t>
            </w:r>
            <w:r w:rsidR="00FB42C1">
              <w:rPr>
                <w:sz w:val="22"/>
                <w:szCs w:val="22"/>
              </w:rPr>
              <w:t>s</w:t>
            </w:r>
            <w:r w:rsidR="002C7F0F">
              <w:rPr>
                <w:sz w:val="22"/>
                <w:szCs w:val="22"/>
              </w:rPr>
              <w:t xml:space="preserve"> over the past two decades </w:t>
            </w:r>
            <w:r w:rsidR="0015414E">
              <w:rPr>
                <w:sz w:val="22"/>
                <w:szCs w:val="22"/>
              </w:rPr>
              <w:t>in the market for voice telephone service, t</w:t>
            </w:r>
            <w:r>
              <w:rPr>
                <w:sz w:val="22"/>
                <w:szCs w:val="22"/>
              </w:rPr>
              <w:t xml:space="preserve">he Federal Communications Commission </w:t>
            </w:r>
            <w:r w:rsidR="00AA16A1">
              <w:rPr>
                <w:sz w:val="22"/>
                <w:szCs w:val="22"/>
              </w:rPr>
              <w:t xml:space="preserve">issued an Order </w:t>
            </w:r>
            <w:r>
              <w:rPr>
                <w:sz w:val="22"/>
                <w:szCs w:val="22"/>
              </w:rPr>
              <w:t>today grant</w:t>
            </w:r>
            <w:r w:rsidR="00AA16A1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certain</w:t>
            </w:r>
            <w:r w:rsidR="0015414E">
              <w:rPr>
                <w:sz w:val="22"/>
                <w:szCs w:val="22"/>
              </w:rPr>
              <w:t xml:space="preserve"> local phone </w:t>
            </w:r>
            <w:r w:rsidR="0015414E">
              <w:rPr>
                <w:sz w:val="22"/>
                <w:szCs w:val="22"/>
              </w:rPr>
              <w:t>companies</w:t>
            </w:r>
            <w:r w:rsidR="0015414E">
              <w:rPr>
                <w:sz w:val="22"/>
                <w:szCs w:val="22"/>
              </w:rPr>
              <w:t xml:space="preserve"> relief from </w:t>
            </w:r>
            <w:r w:rsidR="00BE4879">
              <w:rPr>
                <w:sz w:val="22"/>
                <w:szCs w:val="22"/>
              </w:rPr>
              <w:t xml:space="preserve">two </w:t>
            </w:r>
            <w:r w:rsidR="005F76D4">
              <w:rPr>
                <w:sz w:val="22"/>
                <w:szCs w:val="22"/>
              </w:rPr>
              <w:t>1996-era regulatory obligations that no longer serve their intended purpose</w:t>
            </w:r>
            <w:r w:rsidR="009D27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D2773" w:rsidP="00040127" w14:paraId="26695A9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A16A1" w:rsidP="001A15EE" w14:paraId="5CEA3ED4" w14:textId="71C8289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</w:t>
            </w:r>
            <w:r w:rsidR="00EB6844">
              <w:rPr>
                <w:sz w:val="22"/>
                <w:szCs w:val="22"/>
              </w:rPr>
              <w:t xml:space="preserve">the FCC granted </w:t>
            </w:r>
            <w:r w:rsidR="001A15EE">
              <w:rPr>
                <w:sz w:val="22"/>
                <w:szCs w:val="22"/>
              </w:rPr>
              <w:t xml:space="preserve">certain legacy telephone companies (called </w:t>
            </w:r>
            <w:r w:rsidRPr="00EB6844" w:rsidR="00EB6844">
              <w:rPr>
                <w:sz w:val="22"/>
                <w:szCs w:val="22"/>
              </w:rPr>
              <w:t xml:space="preserve">price cap incumbent </w:t>
            </w:r>
            <w:r w:rsidR="00EB6844">
              <w:rPr>
                <w:sz w:val="22"/>
                <w:szCs w:val="22"/>
              </w:rPr>
              <w:t>local exchange carriers</w:t>
            </w:r>
            <w:r w:rsidR="005971E0">
              <w:rPr>
                <w:sz w:val="22"/>
                <w:szCs w:val="22"/>
              </w:rPr>
              <w:t xml:space="preserve"> (LEC)</w:t>
            </w:r>
            <w:r w:rsidR="001A15EE">
              <w:rPr>
                <w:sz w:val="22"/>
                <w:szCs w:val="22"/>
              </w:rPr>
              <w:t xml:space="preserve">) </w:t>
            </w:r>
            <w:r w:rsidRPr="00EB6844" w:rsidR="00EB6844">
              <w:rPr>
                <w:sz w:val="22"/>
                <w:szCs w:val="22"/>
              </w:rPr>
              <w:t>relief from outdated and burdensome requirements</w:t>
            </w:r>
            <w:r w:rsidR="001A15EE">
              <w:rPr>
                <w:sz w:val="22"/>
                <w:szCs w:val="22"/>
              </w:rPr>
              <w:t xml:space="preserve"> from </w:t>
            </w:r>
            <w:r w:rsidR="005971E0">
              <w:rPr>
                <w:sz w:val="22"/>
                <w:szCs w:val="22"/>
              </w:rPr>
              <w:t xml:space="preserve">the </w:t>
            </w:r>
            <w:r w:rsidR="001A15EE">
              <w:rPr>
                <w:sz w:val="22"/>
                <w:szCs w:val="22"/>
              </w:rPr>
              <w:t>Telecommunications Act of 1996 designed to foster competition in the market for local telephone service</w:t>
            </w:r>
            <w:r w:rsidR="00674C7C">
              <w:rPr>
                <w:sz w:val="22"/>
                <w:szCs w:val="22"/>
              </w:rPr>
              <w:t>—(1) a requirement they offer</w:t>
            </w:r>
            <w:r w:rsidRPr="00EB6844" w:rsidR="00674C7C">
              <w:rPr>
                <w:sz w:val="22"/>
                <w:szCs w:val="22"/>
              </w:rPr>
              <w:t xml:space="preserve"> competitors “analog voice-grade copper loops” on an unbundled basis at regulated rates</w:t>
            </w:r>
            <w:r w:rsidR="00674C7C">
              <w:rPr>
                <w:sz w:val="22"/>
                <w:szCs w:val="22"/>
              </w:rPr>
              <w:t xml:space="preserve"> and (2) a requirement they offer</w:t>
            </w:r>
            <w:r w:rsidRPr="00EB6844" w:rsidR="00674C7C">
              <w:rPr>
                <w:sz w:val="22"/>
                <w:szCs w:val="22"/>
              </w:rPr>
              <w:t xml:space="preserve"> </w:t>
            </w:r>
            <w:r w:rsidR="00674C7C">
              <w:rPr>
                <w:sz w:val="22"/>
                <w:szCs w:val="22"/>
              </w:rPr>
              <w:t xml:space="preserve">legacy </w:t>
            </w:r>
            <w:r w:rsidRPr="00EB6844" w:rsidR="00674C7C">
              <w:rPr>
                <w:sz w:val="22"/>
                <w:szCs w:val="22"/>
              </w:rPr>
              <w:t>services for resale at regulated rates</w:t>
            </w:r>
            <w:r w:rsidR="00674C7C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</w:t>
            </w:r>
            <w:r w:rsidRPr="00D43A30" w:rsidR="00D43A30">
              <w:rPr>
                <w:sz w:val="22"/>
                <w:szCs w:val="22"/>
              </w:rPr>
              <w:t>he communications marketplace has transformed</w:t>
            </w:r>
            <w:r>
              <w:rPr>
                <w:sz w:val="22"/>
                <w:szCs w:val="22"/>
              </w:rPr>
              <w:t xml:space="preserve"> </w:t>
            </w:r>
            <w:r w:rsidR="00674C7C">
              <w:rPr>
                <w:sz w:val="22"/>
                <w:szCs w:val="22"/>
              </w:rPr>
              <w:t>over the past twenty years</w:t>
            </w:r>
            <w:r>
              <w:rPr>
                <w:sz w:val="22"/>
                <w:szCs w:val="22"/>
              </w:rPr>
              <w:t xml:space="preserve">, </w:t>
            </w:r>
            <w:r w:rsidR="001A15EE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EB6844">
              <w:rPr>
                <w:sz w:val="22"/>
                <w:szCs w:val="22"/>
              </w:rPr>
              <w:t>consumers</w:t>
            </w:r>
            <w:r>
              <w:rPr>
                <w:sz w:val="22"/>
                <w:szCs w:val="22"/>
              </w:rPr>
              <w:t xml:space="preserve"> </w:t>
            </w:r>
            <w:r w:rsidRPr="00D43A30" w:rsidR="00D43A30">
              <w:rPr>
                <w:sz w:val="22"/>
                <w:szCs w:val="22"/>
              </w:rPr>
              <w:t>migrat</w:t>
            </w:r>
            <w:r w:rsidR="00370FE1">
              <w:rPr>
                <w:sz w:val="22"/>
                <w:szCs w:val="22"/>
              </w:rPr>
              <w:t>ing</w:t>
            </w:r>
            <w:r w:rsidRPr="00D43A30" w:rsidR="00D43A30">
              <w:rPr>
                <w:sz w:val="22"/>
                <w:szCs w:val="22"/>
              </w:rPr>
              <w:t xml:space="preserve"> away from plain old telephone service provided over copper wires by their local telephone company toward newer, any-distance voice services provided over next-generation networks by cable, mobile and fixed wireless, and over-the-top VoIP providers. </w:t>
            </w:r>
            <w:r>
              <w:rPr>
                <w:sz w:val="22"/>
                <w:szCs w:val="22"/>
              </w:rPr>
              <w:t xml:space="preserve"> </w:t>
            </w:r>
            <w:r w:rsidR="00BE4879">
              <w:rPr>
                <w:sz w:val="22"/>
                <w:szCs w:val="22"/>
              </w:rPr>
              <w:t>In fact, a</w:t>
            </w:r>
            <w:r>
              <w:rPr>
                <w:sz w:val="22"/>
                <w:szCs w:val="22"/>
              </w:rPr>
              <w:t>ccording to the FCC’s latest published data, o</w:t>
            </w:r>
            <w:r w:rsidR="002C7F0F">
              <w:rPr>
                <w:sz w:val="22"/>
                <w:szCs w:val="22"/>
              </w:rPr>
              <w:t xml:space="preserve">f the </w:t>
            </w:r>
            <w:r w:rsidRPr="002C7F0F" w:rsidR="002C7F0F">
              <w:rPr>
                <w:sz w:val="22"/>
                <w:szCs w:val="22"/>
              </w:rPr>
              <w:t>nearly 455 million active voice subscriptions in the United States, only 55.8 million were provided by incumbent LECs</w:t>
            </w:r>
            <w:r w:rsidR="002C7F0F">
              <w:rPr>
                <w:sz w:val="22"/>
                <w:szCs w:val="22"/>
              </w:rPr>
              <w:t xml:space="preserve">. </w:t>
            </w:r>
            <w:r w:rsidR="005A581F">
              <w:rPr>
                <w:sz w:val="22"/>
                <w:szCs w:val="22"/>
              </w:rPr>
              <w:t xml:space="preserve"> </w:t>
            </w:r>
          </w:p>
          <w:p w:rsidR="001A15EE" w:rsidP="002C7F0F" w14:paraId="1D9AE44B" w14:textId="77777777">
            <w:pPr>
              <w:rPr>
                <w:sz w:val="22"/>
                <w:szCs w:val="22"/>
              </w:rPr>
            </w:pPr>
          </w:p>
          <w:p w:rsidR="001E5673" w:rsidP="002C7F0F" w14:paraId="5DD02939" w14:textId="26CB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E18B4">
              <w:rPr>
                <w:sz w:val="22"/>
                <w:szCs w:val="22"/>
              </w:rPr>
              <w:t xml:space="preserve">ather than </w:t>
            </w:r>
            <w:r w:rsidR="00AA16A1">
              <w:rPr>
                <w:sz w:val="22"/>
                <w:szCs w:val="22"/>
              </w:rPr>
              <w:t xml:space="preserve">providing </w:t>
            </w:r>
            <w:r w:rsidRPr="009E18B4">
              <w:rPr>
                <w:sz w:val="22"/>
                <w:szCs w:val="22"/>
              </w:rPr>
              <w:t xml:space="preserve">a foothold for new entrants into the </w:t>
            </w:r>
            <w:r w:rsidR="00BE4879">
              <w:rPr>
                <w:sz w:val="22"/>
                <w:szCs w:val="22"/>
              </w:rPr>
              <w:t xml:space="preserve">voice </w:t>
            </w:r>
            <w:r w:rsidRPr="009E18B4">
              <w:rPr>
                <w:sz w:val="22"/>
                <w:szCs w:val="22"/>
              </w:rPr>
              <w:t xml:space="preserve">marketplace, </w:t>
            </w:r>
            <w:r w:rsidRPr="009E18B4" w:rsidR="001D2386">
              <w:rPr>
                <w:sz w:val="22"/>
                <w:szCs w:val="22"/>
              </w:rPr>
              <w:t>the</w:t>
            </w:r>
            <w:r w:rsidR="001D2386">
              <w:rPr>
                <w:sz w:val="22"/>
                <w:szCs w:val="22"/>
              </w:rPr>
              <w:t>se decades</w:t>
            </w:r>
            <w:r w:rsidR="005F76D4">
              <w:rPr>
                <w:sz w:val="22"/>
                <w:szCs w:val="22"/>
              </w:rPr>
              <w:t xml:space="preserve">-old </w:t>
            </w:r>
            <w:r>
              <w:rPr>
                <w:sz w:val="22"/>
                <w:szCs w:val="22"/>
              </w:rPr>
              <w:t xml:space="preserve">requirements </w:t>
            </w:r>
            <w:r w:rsidRPr="009E18B4">
              <w:rPr>
                <w:sz w:val="22"/>
                <w:szCs w:val="22"/>
              </w:rPr>
              <w:t xml:space="preserve">have become a vice, trapping </w:t>
            </w:r>
            <w:r w:rsidR="00925920">
              <w:rPr>
                <w:sz w:val="22"/>
                <w:szCs w:val="22"/>
              </w:rPr>
              <w:t>incumbent LECs</w:t>
            </w:r>
            <w:r>
              <w:rPr>
                <w:sz w:val="22"/>
                <w:szCs w:val="22"/>
              </w:rPr>
              <w:t xml:space="preserve"> </w:t>
            </w:r>
            <w:r w:rsidRPr="009E18B4">
              <w:rPr>
                <w:sz w:val="22"/>
                <w:szCs w:val="22"/>
              </w:rPr>
              <w:t xml:space="preserve">into preserving </w:t>
            </w:r>
            <w:r w:rsidR="00AA16A1">
              <w:rPr>
                <w:sz w:val="22"/>
                <w:szCs w:val="22"/>
              </w:rPr>
              <w:t xml:space="preserve">and prolonging dependence on </w:t>
            </w:r>
            <w:r w:rsidRPr="009E18B4">
              <w:rPr>
                <w:sz w:val="22"/>
                <w:szCs w:val="22"/>
              </w:rPr>
              <w:t xml:space="preserve">outdated technologies and services </w:t>
            </w:r>
            <w:r w:rsidR="00AA16A1">
              <w:rPr>
                <w:sz w:val="22"/>
                <w:szCs w:val="22"/>
              </w:rPr>
              <w:t>and artificially delaying the migration</w:t>
            </w:r>
            <w:r w:rsidRPr="009E18B4">
              <w:rPr>
                <w:sz w:val="22"/>
                <w:szCs w:val="22"/>
              </w:rPr>
              <w:t xml:space="preserve"> to next-generation networks and services that benefit American consumers and businesses</w:t>
            </w:r>
            <w:r>
              <w:rPr>
                <w:sz w:val="22"/>
                <w:szCs w:val="22"/>
              </w:rPr>
              <w:t>.</w:t>
            </w:r>
            <w:r w:rsidR="00AA16A1">
              <w:rPr>
                <w:sz w:val="22"/>
                <w:szCs w:val="22"/>
              </w:rPr>
              <w:t xml:space="preserve">  The Order therefore relieves incumbent LECs of these requirements and</w:t>
            </w:r>
            <w:r w:rsidR="005971E0">
              <w:rPr>
                <w:sz w:val="22"/>
                <w:szCs w:val="22"/>
              </w:rPr>
              <w:t>,</w:t>
            </w:r>
            <w:r w:rsidR="00AA16A1">
              <w:rPr>
                <w:sz w:val="22"/>
                <w:szCs w:val="22"/>
              </w:rPr>
              <w:t xml:space="preserve"> in turn, eliminates costly mandates that deter investment by incumbent LECs and competitive LECs alike and accelerates the transition to next-generation networks</w:t>
            </w:r>
            <w:r w:rsidR="00A55600">
              <w:rPr>
                <w:sz w:val="22"/>
                <w:szCs w:val="22"/>
              </w:rPr>
              <w:t xml:space="preserve"> and services</w:t>
            </w:r>
            <w:r w:rsidR="00AA16A1">
              <w:rPr>
                <w:sz w:val="22"/>
                <w:szCs w:val="22"/>
              </w:rPr>
              <w:t xml:space="preserve">.  </w:t>
            </w:r>
          </w:p>
          <w:p w:rsidR="00AA16A1" w:rsidP="002C7F0F" w14:paraId="71BF4FDE" w14:textId="5367F407">
            <w:pPr>
              <w:rPr>
                <w:sz w:val="22"/>
                <w:szCs w:val="22"/>
              </w:rPr>
            </w:pPr>
          </w:p>
          <w:p w:rsidR="00AA16A1" w:rsidP="002C7F0F" w14:paraId="56099E76" w14:textId="4CF6A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enable competitive LECs and their customers </w:t>
            </w:r>
            <w:r w:rsidR="00A55600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make alternative voice service arrangements</w:t>
            </w:r>
            <w:r w:rsidR="00A55600">
              <w:rPr>
                <w:sz w:val="22"/>
                <w:szCs w:val="22"/>
              </w:rPr>
              <w:t xml:space="preserve"> following forbearance</w:t>
            </w:r>
            <w:r>
              <w:rPr>
                <w:sz w:val="22"/>
                <w:szCs w:val="22"/>
              </w:rPr>
              <w:t>, today’s Order provides a three-year transition period</w:t>
            </w:r>
            <w:r>
              <w:rPr>
                <w:sz w:val="22"/>
                <w:szCs w:val="22"/>
              </w:rPr>
              <w:t xml:space="preserve">.  </w:t>
            </w:r>
            <w:r w:rsidR="00A55600">
              <w:rPr>
                <w:sz w:val="22"/>
                <w:szCs w:val="22"/>
              </w:rPr>
              <w:t>The Order</w:t>
            </w:r>
            <w:r w:rsidR="00BE4879">
              <w:rPr>
                <w:sz w:val="22"/>
                <w:szCs w:val="22"/>
              </w:rPr>
              <w:t xml:space="preserve"> also provides a five-year transition period for Puerto Rico to account for the devastation to communications infrastructure in that territory from the 2017 hurricanes.</w:t>
            </w:r>
          </w:p>
          <w:p w:rsidR="00910DDC" w:rsidP="00040127" w14:paraId="15CA5A1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10DDC" w:rsidP="00910DDC" w14:paraId="0EEF94F4" w14:textId="57556CE5">
            <w:pPr>
              <w:rPr>
                <w:bCs/>
                <w:iCs/>
              </w:rPr>
            </w:pPr>
            <w:r w:rsidRPr="00910DDC">
              <w:rPr>
                <w:sz w:val="22"/>
                <w:szCs w:val="22"/>
              </w:rPr>
              <w:t xml:space="preserve">The Order </w:t>
            </w:r>
            <w:r w:rsidR="005A581F">
              <w:rPr>
                <w:sz w:val="22"/>
                <w:szCs w:val="22"/>
              </w:rPr>
              <w:t>does</w:t>
            </w:r>
            <w:r w:rsidR="009D2773">
              <w:rPr>
                <w:sz w:val="22"/>
                <w:szCs w:val="22"/>
              </w:rPr>
              <w:t xml:space="preserve"> </w:t>
            </w:r>
            <w:r w:rsidRPr="00910DDC">
              <w:rPr>
                <w:sz w:val="22"/>
                <w:szCs w:val="22"/>
              </w:rPr>
              <w:t xml:space="preserve">not forbear from </w:t>
            </w:r>
            <w:r w:rsidR="005A581F">
              <w:rPr>
                <w:sz w:val="22"/>
                <w:szCs w:val="22"/>
              </w:rPr>
              <w:t xml:space="preserve">unbundling </w:t>
            </w:r>
            <w:r w:rsidRPr="00910DDC">
              <w:rPr>
                <w:sz w:val="22"/>
                <w:szCs w:val="22"/>
              </w:rPr>
              <w:t xml:space="preserve">obligations </w:t>
            </w:r>
            <w:r w:rsidR="005A581F">
              <w:rPr>
                <w:sz w:val="22"/>
                <w:szCs w:val="22"/>
              </w:rPr>
              <w:t xml:space="preserve">enabling the provision of </w:t>
            </w:r>
            <w:r w:rsidRPr="00910DDC">
              <w:rPr>
                <w:sz w:val="22"/>
                <w:szCs w:val="22"/>
              </w:rPr>
              <w:t>broadband</w:t>
            </w:r>
            <w:r w:rsidR="005A581F">
              <w:rPr>
                <w:sz w:val="22"/>
                <w:szCs w:val="22"/>
              </w:rPr>
              <w:t xml:space="preserve"> services.</w:t>
            </w:r>
            <w:r w:rsidR="005C23FE">
              <w:rPr>
                <w:sz w:val="22"/>
                <w:szCs w:val="22"/>
              </w:rPr>
              <w:t xml:space="preserve"> </w:t>
            </w:r>
            <w:r w:rsidRPr="00910DDC">
              <w:rPr>
                <w:sz w:val="22"/>
                <w:szCs w:val="22"/>
              </w:rPr>
              <w:t xml:space="preserve"> On July 1, </w:t>
            </w:r>
            <w:r w:rsidRPr="00910DDC">
              <w:rPr>
                <w:bCs/>
                <w:iCs/>
                <w:sz w:val="22"/>
                <w:szCs w:val="22"/>
              </w:rPr>
              <w:t xml:space="preserve">USTelecom withdrew its </w:t>
            </w:r>
            <w:r w:rsidR="00BD7093">
              <w:rPr>
                <w:bCs/>
                <w:iCs/>
                <w:sz w:val="22"/>
                <w:szCs w:val="22"/>
              </w:rPr>
              <w:t xml:space="preserve">remaining </w:t>
            </w:r>
            <w:r w:rsidRPr="00910DDC">
              <w:rPr>
                <w:bCs/>
                <w:iCs/>
                <w:sz w:val="22"/>
                <w:szCs w:val="22"/>
              </w:rPr>
              <w:t>request</w:t>
            </w:r>
            <w:r w:rsidR="00BD7093">
              <w:rPr>
                <w:bCs/>
                <w:iCs/>
                <w:sz w:val="22"/>
                <w:szCs w:val="22"/>
              </w:rPr>
              <w:t>s</w:t>
            </w:r>
            <w:r w:rsidRPr="00910DDC">
              <w:rPr>
                <w:bCs/>
                <w:iCs/>
                <w:sz w:val="22"/>
                <w:szCs w:val="22"/>
              </w:rPr>
              <w:t xml:space="preserve"> for forbearance from those obligations</w:t>
            </w:r>
            <w:r w:rsidRPr="004D1D93">
              <w:rPr>
                <w:bCs/>
                <w:iCs/>
              </w:rPr>
              <w:t>.</w:t>
            </w:r>
          </w:p>
          <w:p w:rsidR="002C7F0F" w:rsidP="00910DDC" w14:paraId="183211A3" w14:textId="77777777">
            <w:pPr>
              <w:rPr>
                <w:bCs/>
                <w:iCs/>
              </w:rPr>
            </w:pPr>
          </w:p>
          <w:p w:rsidR="00B519C7" w:rsidP="00B519C7" w14:paraId="35C75552" w14:textId="56241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Order is the Commission’s third action on </w:t>
            </w:r>
            <w:r>
              <w:rPr>
                <w:sz w:val="22"/>
                <w:szCs w:val="22"/>
              </w:rPr>
              <w:t>USTelecom’s</w:t>
            </w:r>
            <w:r>
              <w:rPr>
                <w:sz w:val="22"/>
                <w:szCs w:val="22"/>
              </w:rPr>
              <w:t xml:space="preserve"> forbearance petition.  In April 2019, the Commission </w:t>
            </w:r>
            <w:hyperlink r:id="rId5" w:history="1">
              <w:r w:rsidRPr="00DA2EE5">
                <w:rPr>
                  <w:rStyle w:val="Hyperlink"/>
                  <w:sz w:val="22"/>
                  <w:szCs w:val="22"/>
                </w:rPr>
                <w:t>unanimously granted</w:t>
              </w:r>
            </w:hyperlink>
            <w:r>
              <w:rPr>
                <w:sz w:val="22"/>
                <w:szCs w:val="22"/>
              </w:rPr>
              <w:t xml:space="preserve"> relief from other unnecessary 1996-era regulations, including the requirement that small, rural carriers set up separate affiliates to provide-in-region long distance service and the requirement that incumbent LECs submit reports about their legacy special access services.  And in July 2019, the Commission </w:t>
            </w:r>
            <w:hyperlink r:id="rId6" w:history="1">
              <w:r w:rsidRPr="00DA2EE5">
                <w:rPr>
                  <w:rStyle w:val="Hyperlink"/>
                  <w:sz w:val="22"/>
                  <w:szCs w:val="22"/>
                </w:rPr>
                <w:t>unanimously granted</w:t>
              </w:r>
            </w:hyperlink>
            <w:r>
              <w:rPr>
                <w:sz w:val="22"/>
                <w:szCs w:val="22"/>
              </w:rPr>
              <w:t xml:space="preserve"> partial relief from requirements that price cap incumbent LECs provide their competitors with legacy transport facilities—known as DS1 and DS3 transport—on an unbundled basis at regulated rates.</w:t>
            </w:r>
          </w:p>
          <w:p w:rsidR="00A67F36" w:rsidP="00040127" w14:paraId="53DB482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7475A1" w:rsidP="00850E26" w14:paraId="1E6B9A8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1149DF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EFBD90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EC2B1E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052E319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2183A"/>
    <w:multiLevelType w:val="hybridMultilevel"/>
    <w:tmpl w:val="38486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18A0"/>
    <w:multiLevelType w:val="hybridMultilevel"/>
    <w:tmpl w:val="366C539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5DD90633"/>
    <w:multiLevelType w:val="hybridMultilevel"/>
    <w:tmpl w:val="21B44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3647"/>
    <w:multiLevelType w:val="hybridMultilevel"/>
    <w:tmpl w:val="3EAE055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tthew Berry">
    <w15:presenceInfo w15:providerId="AD" w15:userId="S::Matthew.Berry@fcc.gov::e66af486-eec0-4eba-9501-416ef37f94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DB"/>
    <w:rsid w:val="000133C5"/>
    <w:rsid w:val="00016A6C"/>
    <w:rsid w:val="0002500C"/>
    <w:rsid w:val="000311FC"/>
    <w:rsid w:val="00040127"/>
    <w:rsid w:val="0006053F"/>
    <w:rsid w:val="00065E2D"/>
    <w:rsid w:val="00081232"/>
    <w:rsid w:val="00091E65"/>
    <w:rsid w:val="00091FE6"/>
    <w:rsid w:val="00096D4A"/>
    <w:rsid w:val="000A38EA"/>
    <w:rsid w:val="000B62D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414E"/>
    <w:rsid w:val="001577D3"/>
    <w:rsid w:val="001733A6"/>
    <w:rsid w:val="001865A9"/>
    <w:rsid w:val="00187DB2"/>
    <w:rsid w:val="00197C53"/>
    <w:rsid w:val="001A15EE"/>
    <w:rsid w:val="001B20BB"/>
    <w:rsid w:val="001C4370"/>
    <w:rsid w:val="001C4F7B"/>
    <w:rsid w:val="001D0B16"/>
    <w:rsid w:val="001D2386"/>
    <w:rsid w:val="001D3779"/>
    <w:rsid w:val="001E5673"/>
    <w:rsid w:val="001F0469"/>
    <w:rsid w:val="001F1E79"/>
    <w:rsid w:val="001F201C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7F0F"/>
    <w:rsid w:val="002D03E5"/>
    <w:rsid w:val="002E16C3"/>
    <w:rsid w:val="002E3F1D"/>
    <w:rsid w:val="002F31D0"/>
    <w:rsid w:val="00300359"/>
    <w:rsid w:val="0031773E"/>
    <w:rsid w:val="00333871"/>
    <w:rsid w:val="00347716"/>
    <w:rsid w:val="003506E1"/>
    <w:rsid w:val="00363033"/>
    <w:rsid w:val="00370FE1"/>
    <w:rsid w:val="003727E3"/>
    <w:rsid w:val="0038095D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6E6C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1D93"/>
    <w:rsid w:val="004D3D85"/>
    <w:rsid w:val="004E07A8"/>
    <w:rsid w:val="004E2BD8"/>
    <w:rsid w:val="004F0F1F"/>
    <w:rsid w:val="00501079"/>
    <w:rsid w:val="005022AA"/>
    <w:rsid w:val="00504845"/>
    <w:rsid w:val="0050757F"/>
    <w:rsid w:val="00516AD2"/>
    <w:rsid w:val="00545DAE"/>
    <w:rsid w:val="00571B83"/>
    <w:rsid w:val="00575A00"/>
    <w:rsid w:val="0058673C"/>
    <w:rsid w:val="005971E0"/>
    <w:rsid w:val="005A581F"/>
    <w:rsid w:val="005A7972"/>
    <w:rsid w:val="005B16DB"/>
    <w:rsid w:val="005B17E7"/>
    <w:rsid w:val="005B2643"/>
    <w:rsid w:val="005C1666"/>
    <w:rsid w:val="005C23FE"/>
    <w:rsid w:val="005D17FD"/>
    <w:rsid w:val="005F0D55"/>
    <w:rsid w:val="005F183E"/>
    <w:rsid w:val="005F76D4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7C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30AB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27D0"/>
    <w:rsid w:val="007F3C12"/>
    <w:rsid w:val="007F5205"/>
    <w:rsid w:val="0080486B"/>
    <w:rsid w:val="0080633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5BBD"/>
    <w:rsid w:val="008C7BF1"/>
    <w:rsid w:val="008D00D6"/>
    <w:rsid w:val="008D4D00"/>
    <w:rsid w:val="008D4E5E"/>
    <w:rsid w:val="008D7ABD"/>
    <w:rsid w:val="008E55A2"/>
    <w:rsid w:val="008F1609"/>
    <w:rsid w:val="008F78D8"/>
    <w:rsid w:val="00910DDC"/>
    <w:rsid w:val="00915CAB"/>
    <w:rsid w:val="0091714D"/>
    <w:rsid w:val="00925920"/>
    <w:rsid w:val="0093373C"/>
    <w:rsid w:val="00961620"/>
    <w:rsid w:val="00966985"/>
    <w:rsid w:val="009734B6"/>
    <w:rsid w:val="0098096F"/>
    <w:rsid w:val="0098437A"/>
    <w:rsid w:val="00986C92"/>
    <w:rsid w:val="00993C47"/>
    <w:rsid w:val="009972BC"/>
    <w:rsid w:val="009B4B16"/>
    <w:rsid w:val="009D2773"/>
    <w:rsid w:val="009E18B4"/>
    <w:rsid w:val="009E54A1"/>
    <w:rsid w:val="009E73B5"/>
    <w:rsid w:val="009F4E25"/>
    <w:rsid w:val="009F5B1F"/>
    <w:rsid w:val="00A02994"/>
    <w:rsid w:val="00A225A9"/>
    <w:rsid w:val="00A3308E"/>
    <w:rsid w:val="00A35DFD"/>
    <w:rsid w:val="00A37911"/>
    <w:rsid w:val="00A5430A"/>
    <w:rsid w:val="00A55600"/>
    <w:rsid w:val="00A67F36"/>
    <w:rsid w:val="00A702DF"/>
    <w:rsid w:val="00A775A3"/>
    <w:rsid w:val="00A81700"/>
    <w:rsid w:val="00A81B5B"/>
    <w:rsid w:val="00A82FAD"/>
    <w:rsid w:val="00A9673A"/>
    <w:rsid w:val="00A96EF2"/>
    <w:rsid w:val="00AA16A1"/>
    <w:rsid w:val="00AA5C35"/>
    <w:rsid w:val="00AA5ED9"/>
    <w:rsid w:val="00AC0A38"/>
    <w:rsid w:val="00AC4E0E"/>
    <w:rsid w:val="00AC517B"/>
    <w:rsid w:val="00AD0D19"/>
    <w:rsid w:val="00AE232F"/>
    <w:rsid w:val="00AF051B"/>
    <w:rsid w:val="00B037A2"/>
    <w:rsid w:val="00B31870"/>
    <w:rsid w:val="00B320B8"/>
    <w:rsid w:val="00B35EE2"/>
    <w:rsid w:val="00B366AE"/>
    <w:rsid w:val="00B36DEF"/>
    <w:rsid w:val="00B519C7"/>
    <w:rsid w:val="00B57131"/>
    <w:rsid w:val="00B62F2C"/>
    <w:rsid w:val="00B727C9"/>
    <w:rsid w:val="00B735C8"/>
    <w:rsid w:val="00B76A63"/>
    <w:rsid w:val="00BA6350"/>
    <w:rsid w:val="00BA7197"/>
    <w:rsid w:val="00BB4E29"/>
    <w:rsid w:val="00BB74C9"/>
    <w:rsid w:val="00BC3AB6"/>
    <w:rsid w:val="00BD19E8"/>
    <w:rsid w:val="00BD4273"/>
    <w:rsid w:val="00BD7093"/>
    <w:rsid w:val="00BE4879"/>
    <w:rsid w:val="00C15F3C"/>
    <w:rsid w:val="00C31ED8"/>
    <w:rsid w:val="00C432E4"/>
    <w:rsid w:val="00C70C26"/>
    <w:rsid w:val="00C72001"/>
    <w:rsid w:val="00C772B7"/>
    <w:rsid w:val="00C80347"/>
    <w:rsid w:val="00CB7C1A"/>
    <w:rsid w:val="00CC3905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A30"/>
    <w:rsid w:val="00D46CB1"/>
    <w:rsid w:val="00D723F0"/>
    <w:rsid w:val="00D8133F"/>
    <w:rsid w:val="00D861EE"/>
    <w:rsid w:val="00D95B05"/>
    <w:rsid w:val="00D97E2D"/>
    <w:rsid w:val="00DA103D"/>
    <w:rsid w:val="00DA2EE5"/>
    <w:rsid w:val="00DA45D3"/>
    <w:rsid w:val="00DA4772"/>
    <w:rsid w:val="00DA7B44"/>
    <w:rsid w:val="00DB2667"/>
    <w:rsid w:val="00DB67B7"/>
    <w:rsid w:val="00DC15A9"/>
    <w:rsid w:val="00DC40AA"/>
    <w:rsid w:val="00DD1750"/>
    <w:rsid w:val="00E2649A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6844"/>
    <w:rsid w:val="00EB7B86"/>
    <w:rsid w:val="00EE0E90"/>
    <w:rsid w:val="00EF3BCA"/>
    <w:rsid w:val="00EF729B"/>
    <w:rsid w:val="00F01B0D"/>
    <w:rsid w:val="00F03AB4"/>
    <w:rsid w:val="00F1238F"/>
    <w:rsid w:val="00F16485"/>
    <w:rsid w:val="00F228ED"/>
    <w:rsid w:val="00F26E31"/>
    <w:rsid w:val="00F27C6C"/>
    <w:rsid w:val="00F34A8D"/>
    <w:rsid w:val="00F466AE"/>
    <w:rsid w:val="00F50D25"/>
    <w:rsid w:val="00F535D8"/>
    <w:rsid w:val="00F61155"/>
    <w:rsid w:val="00F708E3"/>
    <w:rsid w:val="00F76561"/>
    <w:rsid w:val="00F84736"/>
    <w:rsid w:val="00FB42C1"/>
    <w:rsid w:val="00FC6C29"/>
    <w:rsid w:val="00FD58E0"/>
    <w:rsid w:val="00FD71AE"/>
    <w:rsid w:val="00FE0198"/>
    <w:rsid w:val="00FE3A7C"/>
    <w:rsid w:val="00FE5B2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826984A-30C0-4422-806F-5838B8AF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B1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6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0633D"/>
    <w:pPr>
      <w:widowControl w:val="0"/>
      <w:ind w:left="720"/>
      <w:contextualSpacing/>
    </w:pPr>
    <w:rPr>
      <w:kern w:val="28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844"/>
    <w:rPr>
      <w:kern w:val="28"/>
      <w:sz w:val="22"/>
    </w:rPr>
  </w:style>
  <w:style w:type="character" w:styleId="Strong">
    <w:name w:val="Strong"/>
    <w:basedOn w:val="DefaultParagraphFont"/>
    <w:uiPriority w:val="22"/>
    <w:qFormat/>
    <w:rsid w:val="00BA7197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B42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eliminates-outdated-regulations-burdening-phone-industry-0" TargetMode="External" /><Relationship Id="rId6" Type="http://schemas.openxmlformats.org/officeDocument/2006/relationships/hyperlink" Target="https://www.fcc.gov/document/removing-unnecessary-regulation-transport-services-and-facilities-0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