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4780AD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619FD7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3055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E1C981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A0475F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82F428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8170F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7B5BEC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64972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07C29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CC09B14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BA3FF0">
              <w:rPr>
                <w:b/>
                <w:bCs/>
                <w:sz w:val="26"/>
                <w:szCs w:val="26"/>
              </w:rPr>
              <w:t>SETTLES INVESTIGATIONS INTO MISUSE OF EMERGENCY ALERT TONES BY BROADCAST TV, CABLE, AND RADIO OUTLETS</w:t>
            </w:r>
          </w:p>
          <w:p w:rsidR="00CC5E08" w:rsidRPr="008A3940" w:rsidP="00040127" w14:paraId="040A3D03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Agreements Levy Substantial Financial Penalties &amp; Institute Compliance Plans</w:t>
            </w:r>
          </w:p>
          <w:p w:rsidR="00F61155" w:rsidRPr="006B0A70" w:rsidP="00BB4E29" w14:paraId="17D3618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B31C6" w:rsidP="002E165B" w14:paraId="52B6C330" w14:textId="475D49D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8E2567" w:rsidR="008E2567">
              <w:rPr>
                <w:sz w:val="22"/>
                <w:szCs w:val="22"/>
              </w:rPr>
              <w:t>August</w:t>
            </w:r>
            <w:r w:rsidRPr="008E2567" w:rsidR="000E049E">
              <w:rPr>
                <w:sz w:val="22"/>
                <w:szCs w:val="22"/>
              </w:rPr>
              <w:t xml:space="preserve"> </w:t>
            </w:r>
            <w:r w:rsidRPr="00816A54" w:rsidR="0006311B">
              <w:rPr>
                <w:sz w:val="22"/>
                <w:szCs w:val="22"/>
              </w:rPr>
              <w:t>15</w:t>
            </w:r>
            <w:r w:rsidRPr="002E165B" w:rsidR="00065E2D">
              <w:rPr>
                <w:sz w:val="22"/>
                <w:szCs w:val="22"/>
              </w:rPr>
              <w:t>, 201</w:t>
            </w:r>
            <w:r w:rsidRPr="002E165B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6756FD">
              <w:rPr>
                <w:sz w:val="22"/>
                <w:szCs w:val="22"/>
              </w:rPr>
              <w:t>’s Enforcement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18572F">
              <w:rPr>
                <w:sz w:val="22"/>
                <w:szCs w:val="22"/>
              </w:rPr>
              <w:t xml:space="preserve"> settlements </w:t>
            </w:r>
            <w:bookmarkStart w:id="0" w:name="_Hlk16769069"/>
            <w:r w:rsidR="0018572F">
              <w:rPr>
                <w:sz w:val="22"/>
                <w:szCs w:val="22"/>
              </w:rPr>
              <w:t xml:space="preserve">reached </w:t>
            </w:r>
            <w:r w:rsidR="00F623F9">
              <w:rPr>
                <w:sz w:val="22"/>
                <w:szCs w:val="22"/>
              </w:rPr>
              <w:t xml:space="preserve">with a TV broadcaster, cable TV </w:t>
            </w:r>
            <w:r w:rsidR="000E3077">
              <w:rPr>
                <w:sz w:val="22"/>
                <w:szCs w:val="22"/>
              </w:rPr>
              <w:t>networks</w:t>
            </w:r>
            <w:r w:rsidR="00F623F9">
              <w:rPr>
                <w:sz w:val="22"/>
                <w:szCs w:val="22"/>
              </w:rPr>
              <w:t xml:space="preserve">, and a radio broadcaster for </w:t>
            </w:r>
            <w:r w:rsidR="0006311B">
              <w:rPr>
                <w:sz w:val="22"/>
                <w:szCs w:val="22"/>
              </w:rPr>
              <w:t>mis</w:t>
            </w:r>
            <w:r w:rsidR="00F623F9">
              <w:rPr>
                <w:sz w:val="22"/>
                <w:szCs w:val="22"/>
              </w:rPr>
              <w:t xml:space="preserve">using </w:t>
            </w:r>
            <w:bookmarkStart w:id="1" w:name="_Hlk16769339"/>
            <w:r w:rsidR="00E72478">
              <w:rPr>
                <w:sz w:val="22"/>
                <w:szCs w:val="22"/>
              </w:rPr>
              <w:t>E</w:t>
            </w:r>
            <w:r w:rsidR="00F623F9">
              <w:rPr>
                <w:sz w:val="22"/>
                <w:szCs w:val="22"/>
              </w:rPr>
              <w:t xml:space="preserve">mergency </w:t>
            </w:r>
            <w:r w:rsidR="00E72478">
              <w:rPr>
                <w:sz w:val="22"/>
                <w:szCs w:val="22"/>
              </w:rPr>
              <w:t>A</w:t>
            </w:r>
            <w:r w:rsidR="00F623F9">
              <w:rPr>
                <w:sz w:val="22"/>
                <w:szCs w:val="22"/>
              </w:rPr>
              <w:t>lert</w:t>
            </w:r>
            <w:r w:rsidR="00E72478">
              <w:rPr>
                <w:sz w:val="22"/>
                <w:szCs w:val="22"/>
              </w:rPr>
              <w:t xml:space="preserve"> System (EAS)</w:t>
            </w:r>
            <w:r w:rsidR="0006017D">
              <w:rPr>
                <w:sz w:val="22"/>
                <w:szCs w:val="22"/>
              </w:rPr>
              <w:t xml:space="preserve"> or Wireless Emergency Alert (WEA)</w:t>
            </w:r>
            <w:r w:rsidR="00F623F9">
              <w:rPr>
                <w:sz w:val="22"/>
                <w:szCs w:val="22"/>
              </w:rPr>
              <w:t xml:space="preserve"> tones</w:t>
            </w:r>
            <w:bookmarkEnd w:id="1"/>
            <w:r w:rsidR="00F623F9">
              <w:rPr>
                <w:sz w:val="22"/>
                <w:szCs w:val="22"/>
              </w:rPr>
              <w:t xml:space="preserve">. </w:t>
            </w:r>
            <w:bookmarkEnd w:id="0"/>
            <w:r w:rsidR="00F623F9">
              <w:rPr>
                <w:sz w:val="22"/>
                <w:szCs w:val="22"/>
              </w:rPr>
              <w:t xml:space="preserve"> Episodes of </w:t>
            </w:r>
            <w:r w:rsidR="006756FD">
              <w:rPr>
                <w:sz w:val="22"/>
                <w:szCs w:val="22"/>
              </w:rPr>
              <w:t>ABC’s “</w:t>
            </w:r>
            <w:r w:rsidR="00F623F9">
              <w:rPr>
                <w:sz w:val="22"/>
                <w:szCs w:val="22"/>
              </w:rPr>
              <w:t xml:space="preserve">Jimmy Kimmel </w:t>
            </w:r>
            <w:r w:rsidR="00F623F9">
              <w:rPr>
                <w:sz w:val="22"/>
                <w:szCs w:val="22"/>
              </w:rPr>
              <w:t>Live!</w:t>
            </w:r>
            <w:r w:rsidR="006756FD">
              <w:rPr>
                <w:sz w:val="22"/>
                <w:szCs w:val="22"/>
              </w:rPr>
              <w:t>,</w:t>
            </w:r>
            <w:r w:rsidR="006756FD">
              <w:rPr>
                <w:sz w:val="22"/>
                <w:szCs w:val="22"/>
              </w:rPr>
              <w:t>”</w:t>
            </w:r>
            <w:r w:rsidR="00F623F9">
              <w:rPr>
                <w:sz w:val="22"/>
                <w:szCs w:val="22"/>
              </w:rPr>
              <w:t xml:space="preserve"> </w:t>
            </w:r>
            <w:r w:rsidR="006756FD">
              <w:rPr>
                <w:sz w:val="22"/>
                <w:szCs w:val="22"/>
              </w:rPr>
              <w:t>AMC’s “</w:t>
            </w:r>
            <w:r w:rsidR="00F623F9">
              <w:rPr>
                <w:sz w:val="22"/>
                <w:szCs w:val="22"/>
              </w:rPr>
              <w:t>The Walking Dead</w:t>
            </w:r>
            <w:r w:rsidR="006756FD">
              <w:rPr>
                <w:sz w:val="22"/>
                <w:szCs w:val="22"/>
              </w:rPr>
              <w:t>,”</w:t>
            </w:r>
            <w:r w:rsidR="00F623F9">
              <w:rPr>
                <w:sz w:val="22"/>
                <w:szCs w:val="22"/>
              </w:rPr>
              <w:t xml:space="preserve"> </w:t>
            </w:r>
            <w:r w:rsidR="00BD3583">
              <w:rPr>
                <w:sz w:val="22"/>
                <w:szCs w:val="22"/>
              </w:rPr>
              <w:t xml:space="preserve">and </w:t>
            </w:r>
            <w:r w:rsidR="006756FD">
              <w:rPr>
                <w:sz w:val="22"/>
                <w:szCs w:val="22"/>
              </w:rPr>
              <w:t>Discovery’s “</w:t>
            </w:r>
            <w:r w:rsidR="00F623F9">
              <w:rPr>
                <w:sz w:val="22"/>
                <w:szCs w:val="22"/>
              </w:rPr>
              <w:t>Lone Star Law</w:t>
            </w:r>
            <w:r w:rsidR="006756FD">
              <w:rPr>
                <w:sz w:val="22"/>
                <w:szCs w:val="22"/>
              </w:rPr>
              <w:t>,”</w:t>
            </w:r>
            <w:r w:rsidR="00F623F9">
              <w:rPr>
                <w:sz w:val="22"/>
                <w:szCs w:val="22"/>
              </w:rPr>
              <w:t xml:space="preserve"> </w:t>
            </w:r>
            <w:r w:rsidR="00BD3583">
              <w:rPr>
                <w:sz w:val="22"/>
                <w:szCs w:val="22"/>
              </w:rPr>
              <w:t xml:space="preserve">as well as </w:t>
            </w:r>
            <w:r w:rsidR="003B21C5">
              <w:rPr>
                <w:sz w:val="22"/>
                <w:szCs w:val="22"/>
              </w:rPr>
              <w:t>promo</w:t>
            </w:r>
            <w:r w:rsidR="005B70A5">
              <w:rPr>
                <w:sz w:val="22"/>
                <w:szCs w:val="22"/>
              </w:rPr>
              <w:t>s</w:t>
            </w:r>
            <w:r w:rsidR="003B21C5">
              <w:rPr>
                <w:sz w:val="22"/>
                <w:szCs w:val="22"/>
              </w:rPr>
              <w:t xml:space="preserve"> </w:t>
            </w:r>
            <w:r w:rsidR="005B70A5">
              <w:rPr>
                <w:sz w:val="22"/>
                <w:szCs w:val="22"/>
              </w:rPr>
              <w:t>aired by</w:t>
            </w:r>
            <w:r w:rsidR="003B21C5">
              <w:rPr>
                <w:sz w:val="22"/>
                <w:szCs w:val="22"/>
              </w:rPr>
              <w:t xml:space="preserve"> </w:t>
            </w:r>
            <w:r w:rsidR="00F14930">
              <w:rPr>
                <w:sz w:val="22"/>
                <w:szCs w:val="22"/>
              </w:rPr>
              <w:t xml:space="preserve">Meruelo Radio Holdings, LLC’s </w:t>
            </w:r>
            <w:r w:rsidR="003B21C5">
              <w:rPr>
                <w:sz w:val="22"/>
                <w:szCs w:val="22"/>
              </w:rPr>
              <w:t xml:space="preserve">Los Angeles-area </w:t>
            </w:r>
            <w:r w:rsidR="006756FD">
              <w:rPr>
                <w:sz w:val="22"/>
                <w:szCs w:val="22"/>
              </w:rPr>
              <w:t xml:space="preserve">KDAY and KDEY-FM’s </w:t>
            </w:r>
            <w:r w:rsidR="003B21C5">
              <w:rPr>
                <w:sz w:val="22"/>
                <w:szCs w:val="22"/>
              </w:rPr>
              <w:t>morning radio show</w:t>
            </w:r>
            <w:r w:rsidR="00BD3583">
              <w:rPr>
                <w:sz w:val="22"/>
                <w:szCs w:val="22"/>
              </w:rPr>
              <w:t>,</w:t>
            </w:r>
            <w:r w:rsidR="00BA3FF0">
              <w:rPr>
                <w:sz w:val="22"/>
                <w:szCs w:val="22"/>
              </w:rPr>
              <w:t xml:space="preserve"> all aired </w:t>
            </w:r>
            <w:r w:rsidR="0006311B">
              <w:rPr>
                <w:sz w:val="22"/>
                <w:szCs w:val="22"/>
              </w:rPr>
              <w:t xml:space="preserve">actual or </w:t>
            </w:r>
            <w:r w:rsidR="00BA3FF0">
              <w:rPr>
                <w:sz w:val="22"/>
                <w:szCs w:val="22"/>
              </w:rPr>
              <w:t>simulated alert tones</w:t>
            </w:r>
            <w:r w:rsidR="0006311B">
              <w:rPr>
                <w:sz w:val="22"/>
                <w:szCs w:val="22"/>
              </w:rPr>
              <w:t xml:space="preserve"> in violation of the Commission’s rules</w:t>
            </w:r>
            <w:r w:rsidR="003B21C5">
              <w:rPr>
                <w:sz w:val="22"/>
                <w:szCs w:val="22"/>
              </w:rPr>
              <w:t xml:space="preserve">.  </w:t>
            </w:r>
          </w:p>
          <w:p w:rsidR="001B31C6" w:rsidP="002E165B" w14:paraId="48D91F8F" w14:textId="77777777">
            <w:pPr>
              <w:rPr>
                <w:sz w:val="22"/>
                <w:szCs w:val="22"/>
              </w:rPr>
            </w:pPr>
          </w:p>
          <w:p w:rsidR="00BD19E8" w:rsidP="002E165B" w14:paraId="23522050" w14:textId="600C5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Combined, t</w:t>
            </w:r>
            <w:r w:rsidR="003B21C5">
              <w:rPr>
                <w:sz w:val="22"/>
                <w:szCs w:val="22"/>
              </w:rPr>
              <w:t xml:space="preserve">he companies agreed to pay over $600,000 </w:t>
            </w:r>
            <w:r w:rsidR="005B70A5">
              <w:rPr>
                <w:sz w:val="22"/>
                <w:szCs w:val="22"/>
              </w:rPr>
              <w:t>in civil penalties</w:t>
            </w:r>
            <w:r w:rsidR="0006311B">
              <w:rPr>
                <w:sz w:val="22"/>
                <w:szCs w:val="22"/>
              </w:rPr>
              <w:t>,</w:t>
            </w:r>
            <w:r w:rsidR="005B70A5">
              <w:rPr>
                <w:sz w:val="22"/>
                <w:szCs w:val="22"/>
              </w:rPr>
              <w:t xml:space="preserve"> </w:t>
            </w:r>
            <w:r w:rsidR="003B21C5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each </w:t>
            </w:r>
            <w:r w:rsidR="003B21C5">
              <w:rPr>
                <w:sz w:val="22"/>
                <w:szCs w:val="22"/>
              </w:rPr>
              <w:t xml:space="preserve">committed to </w:t>
            </w:r>
            <w:r w:rsidR="005B70A5">
              <w:rPr>
                <w:sz w:val="22"/>
                <w:szCs w:val="22"/>
              </w:rPr>
              <w:t xml:space="preserve">a </w:t>
            </w:r>
            <w:r w:rsidR="003B21C5">
              <w:rPr>
                <w:sz w:val="22"/>
                <w:szCs w:val="22"/>
              </w:rPr>
              <w:t xml:space="preserve">strict compliance plan to ensure </w:t>
            </w:r>
            <w:r>
              <w:rPr>
                <w:sz w:val="22"/>
                <w:szCs w:val="22"/>
              </w:rPr>
              <w:t>such actions</w:t>
            </w:r>
            <w:r w:rsidR="003B21C5">
              <w:rPr>
                <w:sz w:val="22"/>
                <w:szCs w:val="22"/>
              </w:rPr>
              <w:t xml:space="preserve"> do not </w:t>
            </w:r>
            <w:r w:rsidR="005B70A5">
              <w:rPr>
                <w:sz w:val="22"/>
                <w:szCs w:val="22"/>
              </w:rPr>
              <w:t>recur</w:t>
            </w:r>
            <w:r w:rsidR="003B21C5">
              <w:rPr>
                <w:sz w:val="22"/>
                <w:szCs w:val="22"/>
              </w:rPr>
              <w:t xml:space="preserve">.  </w:t>
            </w:r>
            <w:r w:rsidR="001B31C6">
              <w:rPr>
                <w:sz w:val="22"/>
                <w:szCs w:val="22"/>
              </w:rPr>
              <w:t xml:space="preserve">The Enforcement Bureau has also </w:t>
            </w:r>
            <w:bookmarkStart w:id="2" w:name="_Hlk16769417"/>
            <w:r w:rsidR="001B31C6">
              <w:rPr>
                <w:sz w:val="22"/>
                <w:szCs w:val="22"/>
              </w:rPr>
              <w:t xml:space="preserve">released an Enforcement Advisory to reiterate existing law as it applies to the misuse of EAS tones.  </w:t>
            </w:r>
            <w:bookmarkEnd w:id="2"/>
          </w:p>
          <w:p w:rsidR="00F623F9" w:rsidP="002E165B" w14:paraId="20AE587C" w14:textId="77777777">
            <w:pPr>
              <w:rPr>
                <w:sz w:val="22"/>
                <w:szCs w:val="22"/>
              </w:rPr>
            </w:pPr>
          </w:p>
          <w:p w:rsidR="00BA3FF0" w:rsidP="00BA3FF0" w14:paraId="5B854218" w14:textId="59BF7D29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3" w:name="_Hlk16769365"/>
            <w:r>
              <w:rPr>
                <w:sz w:val="22"/>
                <w:szCs w:val="22"/>
              </w:rPr>
              <w:t xml:space="preserve">The use of </w:t>
            </w:r>
            <w:r w:rsidR="0006311B">
              <w:rPr>
                <w:sz w:val="22"/>
                <w:szCs w:val="22"/>
              </w:rPr>
              <w:t xml:space="preserve">actual or simulated </w:t>
            </w:r>
            <w:r w:rsidR="00F7098C">
              <w:rPr>
                <w:sz w:val="22"/>
                <w:szCs w:val="22"/>
              </w:rPr>
              <w:t xml:space="preserve">EAS </w:t>
            </w:r>
            <w:r>
              <w:rPr>
                <w:sz w:val="22"/>
                <w:szCs w:val="22"/>
              </w:rPr>
              <w:t xml:space="preserve">tones during non-emergencies and outside of proper testing </w:t>
            </w:r>
            <w:r w:rsidR="00E23CD5">
              <w:rPr>
                <w:sz w:val="22"/>
                <w:szCs w:val="22"/>
              </w:rPr>
              <w:t xml:space="preserve">or public service announcements </w:t>
            </w:r>
            <w:r>
              <w:rPr>
                <w:sz w:val="22"/>
                <w:szCs w:val="22"/>
              </w:rPr>
              <w:t xml:space="preserve">is a serious public safety concern.  </w:t>
            </w:r>
            <w:bookmarkEnd w:id="3"/>
            <w:r>
              <w:rPr>
                <w:sz w:val="22"/>
                <w:szCs w:val="22"/>
              </w:rPr>
              <w:t xml:space="preserve">The FCC’s rules prohibit such broadcasting of EAS tones – including simulations of them – </w:t>
            </w:r>
            <w:r w:rsidR="00974EEC">
              <w:rPr>
                <w:sz w:val="22"/>
                <w:szCs w:val="22"/>
              </w:rPr>
              <w:t>except</w:t>
            </w:r>
            <w:r>
              <w:rPr>
                <w:sz w:val="22"/>
                <w:szCs w:val="22"/>
              </w:rPr>
              <w:t xml:space="preserve"> </w:t>
            </w:r>
            <w:r w:rsidR="0062013C">
              <w:rPr>
                <w:sz w:val="22"/>
                <w:szCs w:val="22"/>
              </w:rPr>
              <w:t>during</w:t>
            </w:r>
            <w:r w:rsidR="00CD6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actual emergencies</w:t>
            </w:r>
            <w:r w:rsidR="00E23C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authorized tests</w:t>
            </w:r>
            <w:r w:rsidR="00E23CD5">
              <w:rPr>
                <w:sz w:val="22"/>
                <w:szCs w:val="22"/>
              </w:rPr>
              <w:t xml:space="preserve"> or authorized public service announcements</w:t>
            </w:r>
            <w:r>
              <w:rPr>
                <w:sz w:val="22"/>
                <w:szCs w:val="22"/>
              </w:rPr>
              <w:t xml:space="preserve">.  </w:t>
            </w:r>
            <w:bookmarkStart w:id="4" w:name="_Hlk16769396"/>
            <w:r>
              <w:rPr>
                <w:sz w:val="22"/>
                <w:szCs w:val="22"/>
              </w:rPr>
              <w:t xml:space="preserve">These rules aim to </w:t>
            </w:r>
            <w:r w:rsidRPr="004F0A8E">
              <w:rPr>
                <w:sz w:val="22"/>
                <w:szCs w:val="22"/>
              </w:rPr>
              <w:t xml:space="preserve">protect the integrity of the </w:t>
            </w:r>
            <w:r>
              <w:rPr>
                <w:sz w:val="22"/>
                <w:szCs w:val="22"/>
              </w:rPr>
              <w:t>alert system</w:t>
            </w:r>
            <w:r w:rsidRPr="004F0A8E">
              <w:rPr>
                <w:sz w:val="22"/>
                <w:szCs w:val="22"/>
              </w:rPr>
              <w:t xml:space="preserve"> by helping to avoid</w:t>
            </w:r>
            <w:r>
              <w:rPr>
                <w:sz w:val="22"/>
                <w:szCs w:val="22"/>
              </w:rPr>
              <w:t xml:space="preserve"> </w:t>
            </w:r>
            <w:r w:rsidRPr="004F0A8E">
              <w:rPr>
                <w:sz w:val="22"/>
                <w:szCs w:val="22"/>
              </w:rPr>
              <w:t xml:space="preserve">confusion </w:t>
            </w:r>
            <w:r w:rsidR="005E1630">
              <w:rPr>
                <w:sz w:val="22"/>
                <w:szCs w:val="22"/>
              </w:rPr>
              <w:t>when the tones are used</w:t>
            </w:r>
            <w:r w:rsidR="00397E4A">
              <w:rPr>
                <w:sz w:val="22"/>
                <w:szCs w:val="22"/>
              </w:rPr>
              <w:t>,</w:t>
            </w:r>
            <w:r w:rsidR="005E1630">
              <w:rPr>
                <w:sz w:val="22"/>
                <w:szCs w:val="22"/>
              </w:rPr>
              <w:t xml:space="preserve"> </w:t>
            </w:r>
            <w:r w:rsidRPr="004F0A8E">
              <w:rPr>
                <w:sz w:val="22"/>
                <w:szCs w:val="22"/>
              </w:rPr>
              <w:t xml:space="preserve">alert fatigue </w:t>
            </w:r>
            <w:r w:rsidR="000E3077">
              <w:rPr>
                <w:sz w:val="22"/>
                <w:szCs w:val="22"/>
              </w:rPr>
              <w:t>among listeners</w:t>
            </w:r>
            <w:r>
              <w:rPr>
                <w:sz w:val="22"/>
                <w:szCs w:val="22"/>
              </w:rPr>
              <w:t>, and</w:t>
            </w:r>
            <w:r w:rsidRPr="004F0A8E">
              <w:rPr>
                <w:sz w:val="22"/>
                <w:szCs w:val="22"/>
              </w:rPr>
              <w:t xml:space="preserve"> false </w:t>
            </w:r>
            <w:r w:rsidR="00673C82">
              <w:rPr>
                <w:sz w:val="22"/>
                <w:szCs w:val="22"/>
              </w:rPr>
              <w:t>activation</w:t>
            </w:r>
            <w:r w:rsidRPr="004F0A8E">
              <w:rPr>
                <w:sz w:val="22"/>
                <w:szCs w:val="22"/>
              </w:rPr>
              <w:t xml:space="preserve"> of the EAS</w:t>
            </w:r>
            <w:r w:rsidR="00673C82">
              <w:rPr>
                <w:sz w:val="22"/>
                <w:szCs w:val="22"/>
              </w:rPr>
              <w:t xml:space="preserve"> by the operative data elements contained in the alert tones</w:t>
            </w:r>
            <w:r w:rsidRPr="004F0A8E">
              <w:rPr>
                <w:sz w:val="22"/>
                <w:szCs w:val="22"/>
              </w:rPr>
              <w:t xml:space="preserve">.  </w:t>
            </w:r>
          </w:p>
          <w:bookmarkEnd w:id="4"/>
          <w:p w:rsidR="003B21C5" w:rsidP="003B21C5" w14:paraId="224583A3" w14:textId="77777777">
            <w:pPr>
              <w:rPr>
                <w:sz w:val="22"/>
                <w:szCs w:val="22"/>
              </w:rPr>
            </w:pPr>
          </w:p>
          <w:p w:rsidR="00BA3FF0" w:rsidP="003B21C5" w14:paraId="5FD7D3C9" w14:textId="1082A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settlements announced today conclude FCC Enforcement Bureau investigations following these outlets’ illegal airing of alert tones.  The</w:t>
            </w:r>
            <w:r w:rsidR="0062013C">
              <w:rPr>
                <w:sz w:val="22"/>
                <w:szCs w:val="22"/>
              </w:rPr>
              <w:t xml:space="preserve"> specific</w:t>
            </w:r>
            <w:r>
              <w:rPr>
                <w:sz w:val="22"/>
                <w:szCs w:val="22"/>
              </w:rPr>
              <w:t xml:space="preserve"> settlements include: </w:t>
            </w:r>
          </w:p>
          <w:p w:rsidR="00BA3FF0" w:rsidP="003B21C5" w14:paraId="75E4C279" w14:textId="77777777">
            <w:pPr>
              <w:rPr>
                <w:sz w:val="22"/>
                <w:szCs w:val="22"/>
              </w:rPr>
            </w:pPr>
          </w:p>
          <w:p w:rsidR="00666C59" w:rsidRPr="005075A8" w:rsidP="00666C59" w14:paraId="25CB2624" w14:textId="223165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70453">
              <w:rPr>
                <w:sz w:val="22"/>
              </w:rPr>
              <w:t xml:space="preserve">ABC’s “Jimmy Kimmel Live!” – On October 3, 2018, ABC broadcast an episode of the late-night show “Jimmy Kimmel Live!” which used </w:t>
            </w:r>
            <w:r w:rsidR="007210EC">
              <w:rPr>
                <w:sz w:val="22"/>
              </w:rPr>
              <w:t>a simulated</w:t>
            </w:r>
            <w:r w:rsidRPr="00270453">
              <w:rPr>
                <w:sz w:val="22"/>
              </w:rPr>
              <w:t xml:space="preserve"> </w:t>
            </w:r>
            <w:r w:rsidR="007210EC">
              <w:rPr>
                <w:sz w:val="22"/>
              </w:rPr>
              <w:t xml:space="preserve">WEA </w:t>
            </w:r>
            <w:r w:rsidRPr="00270453">
              <w:rPr>
                <w:sz w:val="22"/>
              </w:rPr>
              <w:t xml:space="preserve">tone </w:t>
            </w:r>
            <w:r w:rsidR="004438C5">
              <w:rPr>
                <w:sz w:val="22"/>
              </w:rPr>
              <w:t xml:space="preserve">three times </w:t>
            </w:r>
            <w:r w:rsidRPr="00270453">
              <w:rPr>
                <w:sz w:val="22"/>
              </w:rPr>
              <w:t xml:space="preserve">during a </w:t>
            </w:r>
            <w:r w:rsidRPr="004D6543">
              <w:rPr>
                <w:color w:val="000000" w:themeColor="text1"/>
                <w:sz w:val="22"/>
                <w:szCs w:val="22"/>
              </w:rPr>
              <w:t>comedic</w:t>
            </w:r>
            <w:r w:rsidRPr="00270453">
              <w:rPr>
                <w:sz w:val="22"/>
              </w:rPr>
              <w:t xml:space="preserve"> sketch.</w:t>
            </w:r>
            <w:r w:rsidRPr="004D6543">
              <w:rPr>
                <w:color w:val="000000" w:themeColor="text1"/>
                <w:sz w:val="22"/>
                <w:szCs w:val="22"/>
              </w:rPr>
              <w:t xml:space="preserve">  ABC transmitted the episode </w:t>
            </w:r>
            <w:r w:rsidRPr="00270453">
              <w:rPr>
                <w:sz w:val="22"/>
              </w:rPr>
              <w:t>nationwide to 250 TV stations</w:t>
            </w:r>
            <w:r w:rsidRPr="004D6543">
              <w:rPr>
                <w:color w:val="000000" w:themeColor="text1"/>
                <w:sz w:val="22"/>
                <w:szCs w:val="22"/>
              </w:rPr>
              <w:t>, including eight of its owned and operated stations, which in turn broadcast the episode in their markets</w:t>
            </w:r>
            <w:r w:rsidRPr="00270453">
              <w:rPr>
                <w:sz w:val="22"/>
              </w:rPr>
              <w:t>.  ABC admitted to the violation, agreed to pay a $395,000 civil penalty, and committed to a compliance plan</w:t>
            </w:r>
            <w:r w:rsidRPr="00270453" w:rsidR="00C675DA">
              <w:rPr>
                <w:sz w:val="22"/>
              </w:rPr>
              <w:t>.</w:t>
            </w:r>
          </w:p>
          <w:p w:rsidR="005075A8" w:rsidRPr="004D6543" w:rsidP="00816A54" w14:paraId="16517610" w14:textId="77777777">
            <w:pPr>
              <w:pStyle w:val="ListParagraph"/>
              <w:rPr>
                <w:sz w:val="22"/>
                <w:szCs w:val="22"/>
              </w:rPr>
            </w:pPr>
          </w:p>
          <w:p w:rsidR="00666C59" w:rsidP="00666C59" w14:paraId="7D82E953" w14:textId="5C00E47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5486B">
              <w:rPr>
                <w:sz w:val="22"/>
                <w:szCs w:val="22"/>
              </w:rPr>
              <w:t xml:space="preserve">AMC’s “The Walking Dead” – In February 2019, AMC Networks </w:t>
            </w:r>
            <w:r w:rsidR="00961C75">
              <w:rPr>
                <w:sz w:val="22"/>
                <w:szCs w:val="22"/>
              </w:rPr>
              <w:t xml:space="preserve">twice </w:t>
            </w:r>
            <w:r w:rsidRPr="0095486B">
              <w:rPr>
                <w:sz w:val="22"/>
                <w:szCs w:val="22"/>
              </w:rPr>
              <w:t>included EAS tone</w:t>
            </w:r>
            <w:r w:rsidR="0003403C">
              <w:rPr>
                <w:sz w:val="22"/>
                <w:szCs w:val="22"/>
              </w:rPr>
              <w:t>s</w:t>
            </w:r>
            <w:r w:rsidRPr="0095486B">
              <w:rPr>
                <w:sz w:val="22"/>
                <w:szCs w:val="22"/>
              </w:rPr>
              <w:t xml:space="preserve"> in the “Omega Episode” of its television program</w:t>
            </w:r>
            <w:r w:rsidR="00961C75">
              <w:rPr>
                <w:sz w:val="22"/>
                <w:szCs w:val="22"/>
              </w:rPr>
              <w:t>,</w:t>
            </w:r>
            <w:r w:rsidRPr="0095486B">
              <w:rPr>
                <w:sz w:val="22"/>
                <w:szCs w:val="22"/>
              </w:rPr>
              <w:t xml:space="preserve"> “The Walking Dead.”  This was transmitted on eight separate instances across cable and satellite systems nationwide.  AMC admitted to the violation, agreed to pay a $104,000 civil penalty, and committed to a compliance plan. </w:t>
            </w:r>
          </w:p>
          <w:p w:rsidR="005075A8" w:rsidRPr="0095486B" w:rsidP="00816A54" w14:paraId="64969E70" w14:textId="77777777">
            <w:pPr>
              <w:pStyle w:val="ListParagraph"/>
              <w:rPr>
                <w:sz w:val="22"/>
                <w:szCs w:val="22"/>
              </w:rPr>
            </w:pPr>
          </w:p>
          <w:p w:rsidR="00666C59" w:rsidP="00666C59" w14:paraId="223E027A" w14:textId="1285A88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5486B">
              <w:rPr>
                <w:sz w:val="22"/>
                <w:szCs w:val="22"/>
              </w:rPr>
              <w:t xml:space="preserve">Animal Planet’s “Lone Star Law” – Discovery’s Animal Planet network broadcast an episode of “Lone Star Law” entitled “Thousand Year Flood,” which included an actual </w:t>
            </w:r>
            <w:r w:rsidR="0006017D">
              <w:rPr>
                <w:sz w:val="22"/>
                <w:szCs w:val="22"/>
              </w:rPr>
              <w:t>WEA</w:t>
            </w:r>
            <w:r w:rsidRPr="0095486B">
              <w:rPr>
                <w:sz w:val="22"/>
                <w:szCs w:val="22"/>
              </w:rPr>
              <w:t xml:space="preserve"> Signal.</w:t>
            </w:r>
            <w:r w:rsidR="002E1F64">
              <w:rPr>
                <w:sz w:val="22"/>
                <w:szCs w:val="22"/>
              </w:rPr>
              <w:t xml:space="preserve">  The crew was filming Texas Game Wardens following Hurricane Harvey and caught the tone of a real wireless alert </w:t>
            </w:r>
            <w:r w:rsidR="00BE2F87">
              <w:rPr>
                <w:sz w:val="22"/>
                <w:szCs w:val="22"/>
              </w:rPr>
              <w:t>received by phones</w:t>
            </w:r>
            <w:r w:rsidR="002E1F64">
              <w:rPr>
                <w:sz w:val="22"/>
                <w:szCs w:val="22"/>
              </w:rPr>
              <w:t xml:space="preserve"> during filming.</w:t>
            </w:r>
            <w:r w:rsidR="008E2567">
              <w:rPr>
                <w:sz w:val="22"/>
                <w:szCs w:val="22"/>
              </w:rPr>
              <w:t xml:space="preserve"> </w:t>
            </w:r>
            <w:r w:rsidRPr="0095486B">
              <w:rPr>
                <w:sz w:val="22"/>
                <w:szCs w:val="22"/>
              </w:rPr>
              <w:t xml:space="preserve"> Discovery transmitted the episode eight times to cable and satellite systems nationwide from January to March 2018.  Discovery admitted to the violation, agreed to pay a $68,000 civil penalty, and committed to a compliance plan. </w:t>
            </w:r>
          </w:p>
          <w:p w:rsidR="005075A8" w:rsidRPr="0095486B" w:rsidP="00816A54" w14:paraId="6AC1CA3D" w14:textId="77777777">
            <w:pPr>
              <w:pStyle w:val="ListParagraph"/>
              <w:rPr>
                <w:sz w:val="22"/>
                <w:szCs w:val="22"/>
              </w:rPr>
            </w:pPr>
          </w:p>
          <w:p w:rsidR="0018572F" w:rsidRPr="0095486B" w:rsidP="00666C59" w14:paraId="5C1101C8" w14:textId="7EA569E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5486B">
              <w:rPr>
                <w:sz w:val="22"/>
                <w:szCs w:val="22"/>
              </w:rPr>
              <w:t xml:space="preserve">Meruelo Radio Holdings – In the fall of 2017, </w:t>
            </w:r>
            <w:r w:rsidRPr="0095486B">
              <w:rPr>
                <w:sz w:val="22"/>
                <w:szCs w:val="22"/>
              </w:rPr>
              <w:t>Meruelo’s</w:t>
            </w:r>
            <w:r w:rsidRPr="0095486B">
              <w:rPr>
                <w:sz w:val="22"/>
                <w:szCs w:val="22"/>
              </w:rPr>
              <w:t xml:space="preserve"> KDAY and KDEY-FM included a simulation of an EAS attention signal in a promotion for its morning show.  The promotion was broadcast 106 times on KDAY and 33 times on KDEY-FM’s simulcast of KDAY.  The company admitted to the violation, agreed to pay a $67,000 civil penalty, and committed to a compliance plan</w:t>
            </w:r>
            <w:r w:rsidR="00B07BE4">
              <w:rPr>
                <w:sz w:val="22"/>
                <w:szCs w:val="22"/>
              </w:rPr>
              <w:t>.</w:t>
            </w:r>
            <w:r w:rsidRPr="0095486B" w:rsidR="00D60FB1">
              <w:rPr>
                <w:sz w:val="22"/>
                <w:szCs w:val="22"/>
              </w:rPr>
              <w:t xml:space="preserve"> </w:t>
            </w:r>
          </w:p>
          <w:p w:rsidR="00F74B0B" w:rsidP="002E165B" w14:paraId="137E4275" w14:textId="77777777">
            <w:pPr>
              <w:rPr>
                <w:sz w:val="22"/>
                <w:szCs w:val="22"/>
              </w:rPr>
            </w:pPr>
          </w:p>
          <w:p w:rsidR="008F08B3" w:rsidRPr="00E777A6" w:rsidP="002E165B" w14:paraId="6DC82C16" w14:textId="5DBF980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In today’s</w:t>
            </w:r>
            <w:r w:rsidR="00E777A6">
              <w:rPr>
                <w:sz w:val="22"/>
                <w:szCs w:val="22"/>
              </w:rPr>
              <w:t xml:space="preserve"> </w:t>
            </w:r>
            <w:hyperlink r:id="rId5" w:history="1">
              <w:r w:rsidRPr="009D0AF9" w:rsidR="00E777A6">
                <w:rPr>
                  <w:rStyle w:val="Hyperlink"/>
                  <w:sz w:val="22"/>
                  <w:szCs w:val="22"/>
                </w:rPr>
                <w:t>Enforcement Advisory</w:t>
              </w:r>
            </w:hyperlink>
            <w:r w:rsidR="00D37F75">
              <w:rPr>
                <w:sz w:val="22"/>
                <w:szCs w:val="22"/>
              </w:rPr>
              <w:t>,</w:t>
            </w:r>
            <w:r w:rsidR="00E77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Enforcement Bureau </w:t>
            </w:r>
            <w:bookmarkStart w:id="5" w:name="_Hlk16769221"/>
            <w:r>
              <w:rPr>
                <w:sz w:val="22"/>
                <w:szCs w:val="22"/>
              </w:rPr>
              <w:t>formally</w:t>
            </w:r>
            <w:r w:rsidR="00E777A6">
              <w:rPr>
                <w:sz w:val="22"/>
                <w:szCs w:val="22"/>
              </w:rPr>
              <w:t xml:space="preserve"> remind</w:t>
            </w:r>
            <w:r>
              <w:rPr>
                <w:sz w:val="22"/>
                <w:szCs w:val="22"/>
              </w:rPr>
              <w:t>s</w:t>
            </w:r>
            <w:r w:rsidR="00E777A6">
              <w:rPr>
                <w:sz w:val="22"/>
                <w:szCs w:val="22"/>
              </w:rPr>
              <w:t xml:space="preserve"> the industry </w:t>
            </w:r>
            <w:r>
              <w:rPr>
                <w:sz w:val="22"/>
                <w:szCs w:val="22"/>
              </w:rPr>
              <w:t>about the existing law as it applies to the misuse of emergency alert tones</w:t>
            </w:r>
            <w:bookmarkEnd w:id="5"/>
            <w:r>
              <w:rPr>
                <w:sz w:val="22"/>
                <w:szCs w:val="22"/>
              </w:rPr>
              <w:t>.  The advisory states</w:t>
            </w:r>
            <w:r w:rsidR="00E777A6">
              <w:rPr>
                <w:sz w:val="22"/>
                <w:szCs w:val="22"/>
              </w:rPr>
              <w:t>:</w:t>
            </w:r>
            <w:r w:rsidR="00EF59C6">
              <w:rPr>
                <w:sz w:val="22"/>
                <w:szCs w:val="22"/>
              </w:rPr>
              <w:t xml:space="preserve"> </w:t>
            </w:r>
            <w:r w:rsidR="00E777A6">
              <w:rPr>
                <w:sz w:val="22"/>
                <w:szCs w:val="22"/>
              </w:rPr>
              <w:t xml:space="preserve"> </w:t>
            </w:r>
            <w:r w:rsidR="00BE2F87">
              <w:rPr>
                <w:sz w:val="22"/>
                <w:szCs w:val="22"/>
              </w:rPr>
              <w:t>“</w:t>
            </w:r>
            <w:r w:rsidRPr="00BE2F87" w:rsidR="00BE2F87">
              <w:rPr>
                <w:sz w:val="22"/>
                <w:szCs w:val="22"/>
              </w:rPr>
              <w:t>We remain concerned about the misuse of the EAS codes and EAS and WEA Attention Signals, or simulations thereof, to capture audience attention during advertisements; dramatic, entertainment, and educational programs</w:t>
            </w:r>
            <w:r w:rsidR="00F32F45">
              <w:rPr>
                <w:sz w:val="22"/>
                <w:szCs w:val="22"/>
              </w:rPr>
              <w:t>,</w:t>
            </w:r>
            <w:r w:rsidRPr="00BE2F87" w:rsidR="00BE2F87">
              <w:rPr>
                <w:sz w:val="22"/>
                <w:szCs w:val="22"/>
              </w:rPr>
              <w:t xml:space="preserve"> and at any other time th</w:t>
            </w:r>
            <w:bookmarkStart w:id="6" w:name="_GoBack"/>
            <w:bookmarkEnd w:id="6"/>
            <w:r w:rsidRPr="00BE2F87" w:rsidR="00BE2F87">
              <w:rPr>
                <w:sz w:val="22"/>
                <w:szCs w:val="22"/>
              </w:rPr>
              <w:t xml:space="preserve">at there is no genuine alert, authorized test, or authorized PSA about the EAS or WEA that is accompanied </w:t>
            </w:r>
            <w:r w:rsidR="00DC0FA8">
              <w:rPr>
                <w:sz w:val="22"/>
                <w:szCs w:val="22"/>
              </w:rPr>
              <w:t xml:space="preserve">by </w:t>
            </w:r>
            <w:r w:rsidRPr="00BE2F87" w:rsidR="00BE2F87">
              <w:rPr>
                <w:sz w:val="22"/>
                <w:szCs w:val="22"/>
              </w:rPr>
              <w:t>an appropriate disclaimer.  The FCC may issue sanctions for such violations, including, but not limited to, monetary forfeitures.</w:t>
            </w:r>
            <w:r w:rsidR="00BE2F87">
              <w:rPr>
                <w:sz w:val="22"/>
                <w:szCs w:val="22"/>
              </w:rPr>
              <w:t>”</w:t>
            </w:r>
          </w:p>
          <w:p w:rsidR="00BD19E8" w:rsidRPr="00BE2F87" w:rsidP="002E165B" w14:paraId="335040ED" w14:textId="77777777">
            <w:pPr>
              <w:rPr>
                <w:sz w:val="22"/>
                <w:szCs w:val="22"/>
              </w:rPr>
            </w:pPr>
          </w:p>
          <w:p w:rsidR="00BE2F87" w:rsidP="002E165B" w14:paraId="28D7A488" w14:textId="2778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settlements announced today, formally known as Consent Decrees, are available at:</w:t>
            </w:r>
          </w:p>
          <w:p w:rsidR="005075A8" w:rsidP="002E165B" w14:paraId="51AE4A20" w14:textId="77777777">
            <w:pPr>
              <w:rPr>
                <w:sz w:val="22"/>
                <w:szCs w:val="22"/>
              </w:rPr>
            </w:pPr>
          </w:p>
          <w:p w:rsidR="00BE2F87" w:rsidP="00270453" w14:paraId="73CFC67A" w14:textId="741450B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Consent Decree with </w:t>
            </w:r>
            <w:r w:rsidRPr="00BE2F87">
              <w:rPr>
                <w:sz w:val="22"/>
                <w:szCs w:val="22"/>
              </w:rPr>
              <w:t>ABC, Inc. and</w:t>
            </w:r>
            <w:r>
              <w:rPr>
                <w:sz w:val="22"/>
                <w:szCs w:val="22"/>
              </w:rPr>
              <w:t xml:space="preserve"> </w:t>
            </w:r>
            <w:r w:rsidRPr="00BE2F87">
              <w:rPr>
                <w:sz w:val="22"/>
                <w:szCs w:val="22"/>
              </w:rPr>
              <w:t>American Broadcasting Companies, Inc.</w:t>
            </w:r>
            <w:r w:rsidR="00391A5F">
              <w:rPr>
                <w:sz w:val="22"/>
                <w:szCs w:val="22"/>
              </w:rPr>
              <w:t xml:space="preserve"> – </w:t>
            </w:r>
            <w:hyperlink r:id="rId6" w:history="1">
              <w:r w:rsidRPr="00E405EB" w:rsidR="009D0AF9">
                <w:rPr>
                  <w:rStyle w:val="Hyperlink"/>
                  <w:sz w:val="22"/>
                  <w:szCs w:val="22"/>
                </w:rPr>
                <w:t>https://docs.fcc.gov/public/attachments/DA-19-620A1.</w:t>
              </w:r>
              <w:r w:rsidRPr="00E405EB" w:rsidR="009D0AF9">
                <w:rPr>
                  <w:rStyle w:val="Hyperlink"/>
                  <w:sz w:val="22"/>
                  <w:szCs w:val="22"/>
                </w:rPr>
                <w:t>pdf</w:t>
              </w:r>
            </w:hyperlink>
            <w:r w:rsidR="009D0AF9">
              <w:rPr>
                <w:sz w:val="22"/>
                <w:szCs w:val="22"/>
              </w:rPr>
              <w:t xml:space="preserve"> </w:t>
            </w:r>
          </w:p>
          <w:p w:rsidR="00BE2F87" w:rsidP="00270453" w14:paraId="04FE24B2" w14:textId="51C8A29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Consent Decree with </w:t>
            </w:r>
            <w:r w:rsidRPr="00BE2F87">
              <w:rPr>
                <w:sz w:val="22"/>
                <w:szCs w:val="22"/>
              </w:rPr>
              <w:t>AMC Networks, Inc.</w:t>
            </w:r>
            <w:r>
              <w:rPr>
                <w:sz w:val="22"/>
                <w:szCs w:val="22"/>
              </w:rPr>
              <w:t xml:space="preserve"> – </w:t>
            </w:r>
            <w:hyperlink r:id="rId7" w:history="1">
              <w:r w:rsidRPr="00E405EB" w:rsidR="009D0AF9">
                <w:rPr>
                  <w:rStyle w:val="Hyperlink"/>
                  <w:sz w:val="22"/>
                  <w:szCs w:val="22"/>
                </w:rPr>
                <w:t>https://docs.fcc.gov/public/attachments/DA-19-621A1.pdf</w:t>
              </w:r>
            </w:hyperlink>
            <w:r w:rsidR="009D0AF9">
              <w:rPr>
                <w:sz w:val="22"/>
                <w:szCs w:val="22"/>
              </w:rPr>
              <w:t xml:space="preserve"> </w:t>
            </w:r>
          </w:p>
          <w:p w:rsidR="00BE2F87" w:rsidP="00270453" w14:paraId="24D26335" w14:textId="3402FB5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Consent Decree with </w:t>
            </w:r>
            <w:r w:rsidRPr="00BE2F87">
              <w:rPr>
                <w:sz w:val="22"/>
                <w:szCs w:val="22"/>
              </w:rPr>
              <w:t>Discovery, Inc.</w:t>
            </w:r>
            <w:r>
              <w:rPr>
                <w:sz w:val="22"/>
                <w:szCs w:val="22"/>
              </w:rPr>
              <w:t xml:space="preserve"> – </w:t>
            </w:r>
            <w:hyperlink r:id="rId8" w:history="1">
              <w:r w:rsidRPr="00E405EB" w:rsidR="009D0AF9">
                <w:rPr>
                  <w:rStyle w:val="Hyperlink"/>
                  <w:sz w:val="22"/>
                  <w:szCs w:val="22"/>
                </w:rPr>
                <w:t>https://docs.fcc.gov/public/attachments/DA-19-626A1.pdf</w:t>
              </w:r>
            </w:hyperlink>
            <w:r w:rsidR="009D0AF9">
              <w:rPr>
                <w:sz w:val="22"/>
                <w:szCs w:val="22"/>
              </w:rPr>
              <w:t xml:space="preserve"> </w:t>
            </w:r>
          </w:p>
          <w:p w:rsidR="00BE2F87" w:rsidP="00270453" w14:paraId="3634B7FB" w14:textId="1A33948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Consent Decree with </w:t>
            </w:r>
            <w:r w:rsidRPr="00BE2F87">
              <w:rPr>
                <w:sz w:val="22"/>
                <w:szCs w:val="22"/>
              </w:rPr>
              <w:t xml:space="preserve">Meruelo Radio Holdings, LLC, licensee of stations </w:t>
            </w:r>
            <w:r>
              <w:rPr>
                <w:sz w:val="22"/>
                <w:szCs w:val="22"/>
              </w:rPr>
              <w:t>K</w:t>
            </w:r>
            <w:r w:rsidRPr="00BE2F87">
              <w:rPr>
                <w:sz w:val="22"/>
                <w:szCs w:val="22"/>
              </w:rPr>
              <w:t>DAY(FM), Redondo Beach, California and KDEY-FM, Ontario, California</w:t>
            </w:r>
            <w:r>
              <w:rPr>
                <w:sz w:val="22"/>
                <w:szCs w:val="22"/>
              </w:rPr>
              <w:t xml:space="preserve"> – </w:t>
            </w:r>
            <w:hyperlink r:id="rId9" w:history="1">
              <w:r w:rsidRPr="00E405EB" w:rsidR="009D0AF9">
                <w:rPr>
                  <w:rStyle w:val="Hyperlink"/>
                  <w:sz w:val="22"/>
                  <w:szCs w:val="22"/>
                </w:rPr>
                <w:t>https://docs.fcc.gov/public/attachments/DA-19-165A1.pdf</w:t>
              </w:r>
            </w:hyperlink>
            <w:r w:rsidR="009D0AF9">
              <w:rPr>
                <w:sz w:val="22"/>
                <w:szCs w:val="22"/>
              </w:rPr>
              <w:t xml:space="preserve"> </w:t>
            </w:r>
          </w:p>
          <w:p w:rsidR="00F74B0B" w:rsidP="002E165B" w14:paraId="1F82D5DA" w14:textId="77777777">
            <w:pPr>
              <w:rPr>
                <w:sz w:val="22"/>
                <w:szCs w:val="22"/>
              </w:rPr>
            </w:pPr>
          </w:p>
          <w:p w:rsidR="00BE2F87" w:rsidRPr="002E165B" w:rsidP="002E165B" w14:paraId="7952D27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9617AB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BACD98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122DCC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17D718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C450E63" w14:textId="77777777">
      <w:pPr>
        <w:rPr>
          <w:b/>
          <w:bCs/>
          <w:sz w:val="2"/>
          <w:szCs w:val="2"/>
        </w:rPr>
      </w:pPr>
    </w:p>
    <w:sectPr w:rsidSect="002069CE">
      <w:headerReference w:type="default" r:id="rId10"/>
      <w:footerReference w:type="default" r:id="rId11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2C47" w14:paraId="1927126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2C47" w14:paraId="3CC389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D44B64"/>
    <w:multiLevelType w:val="hybridMultilevel"/>
    <w:tmpl w:val="B9E8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7891073"/>
    <w:multiLevelType w:val="hybridMultilevel"/>
    <w:tmpl w:val="6DC6D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3403C"/>
    <w:rsid w:val="00040127"/>
    <w:rsid w:val="000460EA"/>
    <w:rsid w:val="0006017D"/>
    <w:rsid w:val="0006311B"/>
    <w:rsid w:val="000635B9"/>
    <w:rsid w:val="00065E2D"/>
    <w:rsid w:val="00072C51"/>
    <w:rsid w:val="00081232"/>
    <w:rsid w:val="00091E65"/>
    <w:rsid w:val="00096D4A"/>
    <w:rsid w:val="000A1EF4"/>
    <w:rsid w:val="000A38EA"/>
    <w:rsid w:val="000C1E47"/>
    <w:rsid w:val="000C26F3"/>
    <w:rsid w:val="000C404E"/>
    <w:rsid w:val="000E049E"/>
    <w:rsid w:val="000E3077"/>
    <w:rsid w:val="000F18B3"/>
    <w:rsid w:val="0010799B"/>
    <w:rsid w:val="00117DB2"/>
    <w:rsid w:val="00123ED2"/>
    <w:rsid w:val="00125BE0"/>
    <w:rsid w:val="00142C13"/>
    <w:rsid w:val="001513E4"/>
    <w:rsid w:val="00152776"/>
    <w:rsid w:val="00153222"/>
    <w:rsid w:val="001577D3"/>
    <w:rsid w:val="00163227"/>
    <w:rsid w:val="001733A6"/>
    <w:rsid w:val="0018572F"/>
    <w:rsid w:val="001865A9"/>
    <w:rsid w:val="00187DB2"/>
    <w:rsid w:val="001A1358"/>
    <w:rsid w:val="001B20BB"/>
    <w:rsid w:val="001B31C6"/>
    <w:rsid w:val="001B40F1"/>
    <w:rsid w:val="001C4370"/>
    <w:rsid w:val="001D3779"/>
    <w:rsid w:val="001F0469"/>
    <w:rsid w:val="001F1CD7"/>
    <w:rsid w:val="00203A98"/>
    <w:rsid w:val="002069CE"/>
    <w:rsid w:val="00206EDD"/>
    <w:rsid w:val="0021247E"/>
    <w:rsid w:val="002146F6"/>
    <w:rsid w:val="00231C32"/>
    <w:rsid w:val="00240345"/>
    <w:rsid w:val="002421F0"/>
    <w:rsid w:val="00247274"/>
    <w:rsid w:val="00266966"/>
    <w:rsid w:val="00270453"/>
    <w:rsid w:val="002825AA"/>
    <w:rsid w:val="00285C36"/>
    <w:rsid w:val="0029404E"/>
    <w:rsid w:val="00294C0C"/>
    <w:rsid w:val="002A0934"/>
    <w:rsid w:val="002A5E64"/>
    <w:rsid w:val="002B1013"/>
    <w:rsid w:val="002C4357"/>
    <w:rsid w:val="002D03E5"/>
    <w:rsid w:val="002E165B"/>
    <w:rsid w:val="002E1F64"/>
    <w:rsid w:val="002E3F1D"/>
    <w:rsid w:val="002F31D0"/>
    <w:rsid w:val="00300359"/>
    <w:rsid w:val="0031773E"/>
    <w:rsid w:val="00321725"/>
    <w:rsid w:val="00333871"/>
    <w:rsid w:val="00347716"/>
    <w:rsid w:val="003506E1"/>
    <w:rsid w:val="003642E2"/>
    <w:rsid w:val="003727E3"/>
    <w:rsid w:val="00385A93"/>
    <w:rsid w:val="003910F1"/>
    <w:rsid w:val="00391A5F"/>
    <w:rsid w:val="00397E4A"/>
    <w:rsid w:val="003B21C5"/>
    <w:rsid w:val="003C00A0"/>
    <w:rsid w:val="003C2F44"/>
    <w:rsid w:val="003C758C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055E"/>
    <w:rsid w:val="00441F59"/>
    <w:rsid w:val="004438C5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6543"/>
    <w:rsid w:val="004E2BD8"/>
    <w:rsid w:val="004F0A8E"/>
    <w:rsid w:val="004F0F1F"/>
    <w:rsid w:val="004F41EF"/>
    <w:rsid w:val="004F5F6B"/>
    <w:rsid w:val="005022AA"/>
    <w:rsid w:val="00504845"/>
    <w:rsid w:val="0050757F"/>
    <w:rsid w:val="005075A8"/>
    <w:rsid w:val="00516AD2"/>
    <w:rsid w:val="00545DAE"/>
    <w:rsid w:val="00553C8D"/>
    <w:rsid w:val="00571B83"/>
    <w:rsid w:val="00575A00"/>
    <w:rsid w:val="00586417"/>
    <w:rsid w:val="0058673C"/>
    <w:rsid w:val="0059288D"/>
    <w:rsid w:val="005A34AF"/>
    <w:rsid w:val="005A7972"/>
    <w:rsid w:val="005B17E7"/>
    <w:rsid w:val="005B2643"/>
    <w:rsid w:val="005B70A5"/>
    <w:rsid w:val="005D17FD"/>
    <w:rsid w:val="005D620A"/>
    <w:rsid w:val="005E1630"/>
    <w:rsid w:val="005F0D55"/>
    <w:rsid w:val="005F183E"/>
    <w:rsid w:val="00600DDA"/>
    <w:rsid w:val="00603A30"/>
    <w:rsid w:val="00604211"/>
    <w:rsid w:val="00613498"/>
    <w:rsid w:val="00617B94"/>
    <w:rsid w:val="0062013C"/>
    <w:rsid w:val="00620879"/>
    <w:rsid w:val="00620BED"/>
    <w:rsid w:val="006415B4"/>
    <w:rsid w:val="00644E3D"/>
    <w:rsid w:val="00651B9E"/>
    <w:rsid w:val="00652019"/>
    <w:rsid w:val="00657EC9"/>
    <w:rsid w:val="00661D40"/>
    <w:rsid w:val="00665633"/>
    <w:rsid w:val="00666C59"/>
    <w:rsid w:val="00672C47"/>
    <w:rsid w:val="00673C82"/>
    <w:rsid w:val="00674C86"/>
    <w:rsid w:val="006756FD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99B"/>
    <w:rsid w:val="006D5D22"/>
    <w:rsid w:val="006E0324"/>
    <w:rsid w:val="006E4A76"/>
    <w:rsid w:val="006E4F47"/>
    <w:rsid w:val="006F1DBD"/>
    <w:rsid w:val="00700556"/>
    <w:rsid w:val="0070589A"/>
    <w:rsid w:val="007167DD"/>
    <w:rsid w:val="007210EC"/>
    <w:rsid w:val="0072478B"/>
    <w:rsid w:val="0073414D"/>
    <w:rsid w:val="0073711A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6F2D"/>
    <w:rsid w:val="007F3C12"/>
    <w:rsid w:val="007F5205"/>
    <w:rsid w:val="0080486B"/>
    <w:rsid w:val="00816A54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2567"/>
    <w:rsid w:val="008E2ABB"/>
    <w:rsid w:val="008E55A2"/>
    <w:rsid w:val="008F08B3"/>
    <w:rsid w:val="008F1609"/>
    <w:rsid w:val="008F78D8"/>
    <w:rsid w:val="00907610"/>
    <w:rsid w:val="0093373C"/>
    <w:rsid w:val="0095486B"/>
    <w:rsid w:val="00961620"/>
    <w:rsid w:val="00961C75"/>
    <w:rsid w:val="009734B6"/>
    <w:rsid w:val="00974EEC"/>
    <w:rsid w:val="0098096F"/>
    <w:rsid w:val="0098437A"/>
    <w:rsid w:val="00986C92"/>
    <w:rsid w:val="00993C47"/>
    <w:rsid w:val="009972BC"/>
    <w:rsid w:val="009B133B"/>
    <w:rsid w:val="009B4B16"/>
    <w:rsid w:val="009C0E99"/>
    <w:rsid w:val="009D0AF9"/>
    <w:rsid w:val="009E54A1"/>
    <w:rsid w:val="009F4E25"/>
    <w:rsid w:val="009F5B1F"/>
    <w:rsid w:val="00A225A9"/>
    <w:rsid w:val="00A22FC7"/>
    <w:rsid w:val="00A30BA1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0269"/>
    <w:rsid w:val="00AA2E8F"/>
    <w:rsid w:val="00AA5C35"/>
    <w:rsid w:val="00AA5ED9"/>
    <w:rsid w:val="00AC0A38"/>
    <w:rsid w:val="00AC4E0E"/>
    <w:rsid w:val="00AC517B"/>
    <w:rsid w:val="00AD0D19"/>
    <w:rsid w:val="00AD4184"/>
    <w:rsid w:val="00AE50A3"/>
    <w:rsid w:val="00AF051B"/>
    <w:rsid w:val="00B037A2"/>
    <w:rsid w:val="00B07879"/>
    <w:rsid w:val="00B07BE4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3FF0"/>
    <w:rsid w:val="00BA6350"/>
    <w:rsid w:val="00BB4E29"/>
    <w:rsid w:val="00BB74C9"/>
    <w:rsid w:val="00BC3AB6"/>
    <w:rsid w:val="00BD19E8"/>
    <w:rsid w:val="00BD3583"/>
    <w:rsid w:val="00BD4273"/>
    <w:rsid w:val="00BE2F87"/>
    <w:rsid w:val="00BF4281"/>
    <w:rsid w:val="00BF6980"/>
    <w:rsid w:val="00C31ED8"/>
    <w:rsid w:val="00C432E4"/>
    <w:rsid w:val="00C45804"/>
    <w:rsid w:val="00C675DA"/>
    <w:rsid w:val="00C70C26"/>
    <w:rsid w:val="00C72001"/>
    <w:rsid w:val="00C772B7"/>
    <w:rsid w:val="00C80347"/>
    <w:rsid w:val="00CB24D2"/>
    <w:rsid w:val="00CB7C1A"/>
    <w:rsid w:val="00CC5E08"/>
    <w:rsid w:val="00CD6F69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2863"/>
    <w:rsid w:val="00D24C3D"/>
    <w:rsid w:val="00D27D35"/>
    <w:rsid w:val="00D37F75"/>
    <w:rsid w:val="00D46CB1"/>
    <w:rsid w:val="00D60F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0FA8"/>
    <w:rsid w:val="00DC15A9"/>
    <w:rsid w:val="00DC40AA"/>
    <w:rsid w:val="00DD1750"/>
    <w:rsid w:val="00E06FD4"/>
    <w:rsid w:val="00E23CD5"/>
    <w:rsid w:val="00E349AA"/>
    <w:rsid w:val="00E405EB"/>
    <w:rsid w:val="00E41390"/>
    <w:rsid w:val="00E41CA0"/>
    <w:rsid w:val="00E4366B"/>
    <w:rsid w:val="00E50A4A"/>
    <w:rsid w:val="00E606DE"/>
    <w:rsid w:val="00E613E1"/>
    <w:rsid w:val="00E644FE"/>
    <w:rsid w:val="00E72478"/>
    <w:rsid w:val="00E72733"/>
    <w:rsid w:val="00E739E9"/>
    <w:rsid w:val="00E742FA"/>
    <w:rsid w:val="00E76816"/>
    <w:rsid w:val="00E777A6"/>
    <w:rsid w:val="00E83DBF"/>
    <w:rsid w:val="00E87C13"/>
    <w:rsid w:val="00E94CD9"/>
    <w:rsid w:val="00EA1A76"/>
    <w:rsid w:val="00EA290B"/>
    <w:rsid w:val="00EE0E90"/>
    <w:rsid w:val="00EF3BCA"/>
    <w:rsid w:val="00EF59C6"/>
    <w:rsid w:val="00EF729B"/>
    <w:rsid w:val="00F01B0D"/>
    <w:rsid w:val="00F1238F"/>
    <w:rsid w:val="00F14930"/>
    <w:rsid w:val="00F16485"/>
    <w:rsid w:val="00F228ED"/>
    <w:rsid w:val="00F26E31"/>
    <w:rsid w:val="00F27C6C"/>
    <w:rsid w:val="00F32F45"/>
    <w:rsid w:val="00F34A8D"/>
    <w:rsid w:val="00F50D25"/>
    <w:rsid w:val="00F535D8"/>
    <w:rsid w:val="00F61155"/>
    <w:rsid w:val="00F623F9"/>
    <w:rsid w:val="00F708E3"/>
    <w:rsid w:val="00F7098C"/>
    <w:rsid w:val="00F74B0B"/>
    <w:rsid w:val="00F76561"/>
    <w:rsid w:val="00F76DBD"/>
    <w:rsid w:val="00F818BE"/>
    <w:rsid w:val="00F84736"/>
    <w:rsid w:val="00FC5FD7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F08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E2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F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F87"/>
    <w:rPr>
      <w:b/>
      <w:bCs/>
    </w:rPr>
  </w:style>
  <w:style w:type="paragraph" w:styleId="Header">
    <w:name w:val="header"/>
    <w:basedOn w:val="Normal"/>
    <w:link w:val="HeaderChar"/>
    <w:unhideWhenUsed/>
    <w:rsid w:val="000F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8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19-758A1.pdf" TargetMode="External" /><Relationship Id="rId6" Type="http://schemas.openxmlformats.org/officeDocument/2006/relationships/hyperlink" Target="https://docs.fcc.gov/public/attachments/DA-19-620A1.pdf" TargetMode="External" /><Relationship Id="rId7" Type="http://schemas.openxmlformats.org/officeDocument/2006/relationships/hyperlink" Target="https://docs.fcc.gov/public/attachments/DA-19-621A1.pdf" TargetMode="External" /><Relationship Id="rId8" Type="http://schemas.openxmlformats.org/officeDocument/2006/relationships/hyperlink" Target="https://docs.fcc.gov/public/attachments/DA-19-626A1.pdf" TargetMode="External" /><Relationship Id="rId9" Type="http://schemas.openxmlformats.org/officeDocument/2006/relationships/hyperlink" Target="https://docs.fcc.gov/public/attachments/DA-19-165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