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5069D352">
            <w:pPr>
              <w:tabs>
                <w:tab w:val="center" w:pos="4680"/>
              </w:tabs>
              <w:suppressAutoHyphens/>
              <w:rPr>
                <w:spacing w:val="-2"/>
              </w:rPr>
            </w:pPr>
            <w:r>
              <w:rPr>
                <w:spacing w:val="-2"/>
              </w:rPr>
              <w:t>Syncom</w:t>
            </w:r>
            <w:r>
              <w:rPr>
                <w:spacing w:val="-2"/>
              </w:rPr>
              <w:t xml:space="preserve"> Media Group, Inc.</w:t>
            </w:r>
          </w:p>
          <w:p w:rsidR="005A7EE4" w:rsidP="007115F7" w14:paraId="034FD333" w14:textId="77777777">
            <w:pPr>
              <w:tabs>
                <w:tab w:val="center" w:pos="4680"/>
              </w:tabs>
              <w:suppressAutoHyphens/>
              <w:rPr>
                <w:spacing w:val="-2"/>
              </w:rPr>
            </w:pPr>
            <w:r>
              <w:rPr>
                <w:spacing w:val="-2"/>
              </w:rPr>
              <w:t>Licensee of Station</w:t>
            </w:r>
            <w:r>
              <w:rPr>
                <w:spacing w:val="-2"/>
              </w:rPr>
              <w:t xml:space="preserve"> KZDN-LD</w:t>
            </w:r>
          </w:p>
          <w:p w:rsidR="005A7EE4" w:rsidP="007115F7" w14:paraId="6DF723E3" w14:textId="77777777">
            <w:pPr>
              <w:tabs>
                <w:tab w:val="center" w:pos="4680"/>
              </w:tabs>
              <w:suppressAutoHyphens/>
              <w:rPr>
                <w:spacing w:val="-2"/>
              </w:rPr>
            </w:pPr>
          </w:p>
          <w:p w:rsidR="00AD2A9B" w:rsidP="007115F7" w14:paraId="0FF0DD5B" w14:textId="6B924DEE">
            <w:pPr>
              <w:tabs>
                <w:tab w:val="center" w:pos="4680"/>
              </w:tabs>
              <w:suppressAutoHyphens/>
              <w:rPr>
                <w:spacing w:val="-2"/>
              </w:rPr>
            </w:pPr>
            <w:r>
              <w:rPr>
                <w:spacing w:val="-2"/>
              </w:rPr>
              <w:t>Facility ID:  168641</w:t>
            </w:r>
          </w:p>
          <w:p w:rsidR="00AD2A9B" w:rsidP="007115F7" w14:paraId="198BBC1D" w14:textId="77777777">
            <w:pPr>
              <w:tabs>
                <w:tab w:val="center" w:pos="4680"/>
              </w:tabs>
              <w:suppressAutoHyphens/>
              <w:rPr>
                <w:spacing w:val="-2"/>
              </w:rPr>
            </w:pPr>
          </w:p>
          <w:p w:rsidR="00AD2A9B" w:rsidRPr="00AD2A9B" w:rsidP="007115F7" w14:paraId="07E9B480" w14:textId="549984BB">
            <w:pPr>
              <w:tabs>
                <w:tab w:val="center" w:pos="4680"/>
              </w:tabs>
              <w:suppressAutoHyphens/>
              <w:rPr>
                <w:spacing w:val="-2"/>
              </w:rPr>
            </w:pPr>
            <w:r>
              <w:rPr>
                <w:spacing w:val="-2"/>
              </w:rPr>
              <w:t>Denver, C</w:t>
            </w:r>
            <w:r w:rsidR="00F037F4">
              <w:rPr>
                <w:spacing w:val="-2"/>
              </w:rPr>
              <w:t>olorado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rsidRPr="005A7EE4" w14:paraId="2D444FF5" w14:textId="1F19BC37">
            <w:pPr>
              <w:tabs>
                <w:tab w:val="center" w:pos="4680"/>
              </w:tabs>
              <w:suppressAutoHyphens/>
              <w:rPr>
                <w:b/>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D55FBC" w:rsidP="005A7EE4" w14:paraId="75027890" w14:textId="77777777">
            <w:pPr>
              <w:tabs>
                <w:tab w:val="center" w:pos="4680"/>
              </w:tabs>
              <w:suppressAutoHyphens/>
              <w:rPr>
                <w:spacing w:val="-2"/>
              </w:rPr>
            </w:pPr>
          </w:p>
          <w:p w:rsidR="005A7EE4" w:rsidP="005A7EE4" w14:paraId="7FD9F6AF" w14:textId="6083783D">
            <w:pPr>
              <w:tabs>
                <w:tab w:val="center" w:pos="4680"/>
              </w:tabs>
              <w:suppressAutoHyphens/>
              <w:rPr>
                <w:spacing w:val="-2"/>
              </w:rPr>
            </w:pPr>
            <w:r>
              <w:rPr>
                <w:spacing w:val="-2"/>
              </w:rPr>
              <w:t xml:space="preserve">File No.: </w:t>
            </w:r>
            <w:r w:rsidR="00083CB6">
              <w:rPr>
                <w:spacing w:val="-2"/>
              </w:rPr>
              <w:t xml:space="preserve"> </w:t>
            </w:r>
            <w:r w:rsidRPr="00A902A9">
              <w:rPr>
                <w:szCs w:val="22"/>
              </w:rPr>
              <w:t>EB-FIELD</w:t>
            </w:r>
            <w:r>
              <w:rPr>
                <w:szCs w:val="22"/>
              </w:rPr>
              <w:t>WR</w:t>
            </w:r>
            <w:r w:rsidRPr="00A902A9">
              <w:rPr>
                <w:szCs w:val="22"/>
              </w:rPr>
              <w:t>-</w:t>
            </w:r>
            <w:r>
              <w:rPr>
                <w:szCs w:val="22"/>
              </w:rPr>
              <w:t>19</w:t>
            </w:r>
            <w:r w:rsidRPr="00A902A9">
              <w:rPr>
                <w:szCs w:val="22"/>
              </w:rPr>
              <w:t>-000</w:t>
            </w:r>
            <w:r>
              <w:rPr>
                <w:szCs w:val="22"/>
              </w:rPr>
              <w:t>28805</w:t>
            </w:r>
          </w:p>
          <w:p w:rsidR="005A7EE4" w:rsidP="005A7EE4" w14:paraId="50EBC463" w14:textId="77777777">
            <w:pPr>
              <w:tabs>
                <w:tab w:val="center" w:pos="4680"/>
              </w:tabs>
              <w:suppressAutoHyphens/>
              <w:rPr>
                <w:spacing w:val="-2"/>
              </w:rPr>
            </w:pPr>
          </w:p>
          <w:p w:rsidR="005A7EE4" w:rsidRPr="00D55FBC" w:rsidP="005A7EE4" w14:paraId="69D84720" w14:textId="7AD8240B">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04F624E3">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E2B36">
        <w:rPr>
          <w:b/>
          <w:spacing w:val="-2"/>
        </w:rPr>
        <w:t>August</w:t>
      </w:r>
      <w:r w:rsidR="005A7EE4">
        <w:rPr>
          <w:b/>
          <w:spacing w:val="-2"/>
        </w:rPr>
        <w:t xml:space="preserve"> </w:t>
      </w:r>
      <w:r w:rsidR="00741DFD">
        <w:rPr>
          <w:b/>
          <w:spacing w:val="-2"/>
        </w:rPr>
        <w:t>27</w:t>
      </w:r>
      <w:bookmarkStart w:id="0" w:name="_GoBack"/>
      <w:bookmarkEnd w:id="0"/>
      <w:r w:rsidR="005A7EE4">
        <w:rPr>
          <w:b/>
          <w:spacing w:val="-2"/>
        </w:rPr>
        <w:t>, 2019</w:t>
      </w:r>
    </w:p>
    <w:p w:rsidR="00822CE0" w14:paraId="30D3BF8B" w14:textId="77777777"/>
    <w:p w:rsidR="004C2EE3" w14:paraId="466808CB" w14:textId="2754A74A">
      <w:pPr>
        <w:rPr>
          <w:spacing w:val="-2"/>
        </w:rPr>
      </w:pPr>
      <w:r>
        <w:t xml:space="preserve">By </w:t>
      </w:r>
      <w:r w:rsidR="004E4A22">
        <w:t>the</w:t>
      </w:r>
      <w:r w:rsidR="002A2D2E">
        <w:t xml:space="preserve"> </w:t>
      </w:r>
      <w:r w:rsidR="00AD2A9B">
        <w:rPr>
          <w:spacing w:val="-2"/>
        </w:rPr>
        <w:t>Regional Director, Region</w:t>
      </w:r>
      <w:r w:rsidR="005A7EE4">
        <w:rPr>
          <w:spacing w:val="-2"/>
        </w:rPr>
        <w:t xml:space="preserve"> Three</w:t>
      </w:r>
      <w:r w:rsidR="00AD2A9B">
        <w:rPr>
          <w:spacing w:val="-2"/>
        </w:rPr>
        <w:t>, Enforcement Bureau</w:t>
      </w:r>
      <w:r>
        <w:rPr>
          <w:spacing w:val="-2"/>
        </w:rPr>
        <w:t>:</w:t>
      </w:r>
    </w:p>
    <w:p w:rsidR="00412FC5" w:rsidP="00412FC5" w14:paraId="74257FDC" w14:textId="77777777"/>
    <w:p w:rsidR="00AD2A9B" w:rsidP="00AD2A9B" w14:paraId="11AFD384" w14:textId="22EBEC5B">
      <w:pPr>
        <w:pStyle w:val="ParaNum"/>
      </w:pPr>
      <w:r w:rsidRPr="00AD2A9B">
        <w:t xml:space="preserve">This is a Notice of Violation (Notice) issued pursuant to </w:t>
      </w:r>
      <w:r w:rsidR="00717A42">
        <w:t>s</w:t>
      </w:r>
      <w:r w:rsidRPr="00AD2A9B" w:rsidR="00717A42">
        <w:t xml:space="preserve">ection </w:t>
      </w:r>
      <w:r w:rsidRPr="00AD2A9B">
        <w:t>1.89 of the Commission’s rules</w:t>
      </w:r>
      <w:r>
        <w:rPr>
          <w:rStyle w:val="FootnoteReference"/>
        </w:rPr>
        <w:footnoteReference w:id="3"/>
      </w:r>
      <w:r w:rsidRPr="00AD2A9B">
        <w:t xml:space="preserve"> to</w:t>
      </w:r>
      <w:r w:rsidR="002D2203">
        <w:t xml:space="preserve"> </w:t>
      </w:r>
      <w:r w:rsidR="002D2203">
        <w:t>Syncom</w:t>
      </w:r>
      <w:r w:rsidR="002D2203">
        <w:t xml:space="preserve"> Media Group, Inc. (</w:t>
      </w:r>
      <w:r w:rsidR="002D2203">
        <w:t>Syncom</w:t>
      </w:r>
      <w:r w:rsidR="002D2203">
        <w:t>)</w:t>
      </w:r>
      <w:r w:rsidRPr="00AD2A9B">
        <w:t xml:space="preserve">, licensee of </w:t>
      </w:r>
      <w:r w:rsidR="002D2203">
        <w:t>low-power television station KZDN-LD</w:t>
      </w:r>
      <w:r w:rsidR="008F05EC">
        <w:t xml:space="preserve"> </w:t>
      </w:r>
      <w:r w:rsidR="002D2203">
        <w:t xml:space="preserve">serving Denver, Colorado.  </w:t>
      </w:r>
      <w:r w:rsidRPr="00AD2A9B">
        <w:t xml:space="preserve">Pursuant to </w:t>
      </w:r>
      <w:r w:rsidR="00717A42">
        <w:t>s</w:t>
      </w:r>
      <w:r w:rsidRPr="00AD2A9B">
        <w:t xml:space="preserve">ection 1.89(a) of the </w:t>
      </w:r>
      <w:r w:rsidR="008F05EC">
        <w:t>Commission’s r</w:t>
      </w:r>
      <w:r w:rsidRPr="00AD2A9B">
        <w:t xml:space="preserve">ules, issuance of this Notice does not preclude the </w:t>
      </w:r>
      <w:r w:rsidR="000668CC">
        <w:t>Federal Communications Commission’s (Commission’s)</w:t>
      </w:r>
      <w:r w:rsidRPr="00AD2A9B">
        <w:t xml:space="preserve"> from further action if warranted, including issuing a Notice of Apparent Liability for Forfeiture for the violation</w:t>
      </w:r>
      <w:r w:rsidR="002D2203">
        <w:t>s</w:t>
      </w:r>
      <w:r w:rsidRPr="00AD2A9B">
        <w:t xml:space="preserve"> noted herein.</w:t>
      </w:r>
      <w:r>
        <w:rPr>
          <w:rStyle w:val="FootnoteReference"/>
        </w:rPr>
        <w:footnoteReference w:id="4"/>
      </w:r>
    </w:p>
    <w:p w:rsidR="008F05EC" w:rsidRPr="008F05EC" w:rsidP="008F05EC" w14:paraId="3FF9AD5B" w14:textId="696B41A7">
      <w:pPr>
        <w:pStyle w:val="ParaNum"/>
      </w:pPr>
      <w:r w:rsidRPr="008F05EC">
        <w:t>On</w:t>
      </w:r>
      <w:r w:rsidR="002D2203">
        <w:t xml:space="preserve"> April 3, 2019</w:t>
      </w:r>
      <w:r w:rsidR="00E64CAF">
        <w:t xml:space="preserve">, an Agent of the </w:t>
      </w:r>
      <w:r w:rsidRPr="008F05EC">
        <w:t xml:space="preserve">Enforcement Bureau’s </w:t>
      </w:r>
      <w:r w:rsidR="00E64CAF">
        <w:t>Denver</w:t>
      </w:r>
      <w:r w:rsidRPr="008F05EC">
        <w:t xml:space="preserve"> Office </w:t>
      </w:r>
      <w:r w:rsidR="00E64CAF">
        <w:t xml:space="preserve">investigated a complaint of radio frequency interference impacting the operations of the Soil Moisture and Ocean Salinity (SMOS) satellite operated by the European Space Agency (ESA).  </w:t>
      </w:r>
      <w:r w:rsidR="009472FA">
        <w:t>Using radio direction finding equipment, t</w:t>
      </w:r>
      <w:r w:rsidR="00E64CAF">
        <w:t xml:space="preserve">he </w:t>
      </w:r>
      <w:r w:rsidR="009472FA">
        <w:t>A</w:t>
      </w:r>
      <w:r w:rsidR="00E64CAF">
        <w:t>gent located emissions in the SMOS band, 1400-1427 MHz, emanating from a tower atop the Lookout Mountain telecommunications site in Golden, Colorado.  Upon further investigation</w:t>
      </w:r>
      <w:r w:rsidR="007C562E">
        <w:t xml:space="preserve"> and inspection</w:t>
      </w:r>
      <w:r w:rsidR="00E64CAF">
        <w:t>, the Agent</w:t>
      </w:r>
      <w:r w:rsidRPr="008F05EC">
        <w:t xml:space="preserve"> observed the following violations:</w:t>
      </w:r>
    </w:p>
    <w:p w:rsidR="00717A42" w:rsidP="004953EB" w14:paraId="0DA759A5" w14:textId="49942278">
      <w:pPr>
        <w:numPr>
          <w:ilvl w:val="0"/>
          <w:numId w:val="7"/>
        </w:numPr>
        <w:spacing w:after="120"/>
      </w:pPr>
      <w:r>
        <w:t>47 C.F.R. §</w:t>
      </w:r>
      <w:r w:rsidR="00E64CAF">
        <w:t xml:space="preserve"> 74.703(c</w:t>
      </w:r>
      <w:r w:rsidR="007C562E">
        <w:t>):  “Interference.  (</w:t>
      </w:r>
      <w:r w:rsidRPr="007C562E" w:rsidR="007C562E">
        <w:rPr>
          <w:szCs w:val="22"/>
        </w:rPr>
        <w:t>c) It shall be the responsibility of the licensee of a low power TV, TV translator, or TV booster station to correct any condition of interference which results from the radiation of radio frequency energy outside its assigned channel</w:t>
      </w:r>
      <w:r>
        <w:t xml:space="preserve">.”  </w:t>
      </w:r>
      <w:r w:rsidR="007C562E">
        <w:t xml:space="preserve">At the time of the </w:t>
      </w:r>
      <w:r w:rsidR="00B04058">
        <w:t xml:space="preserve">initial </w:t>
      </w:r>
      <w:r w:rsidR="007C562E">
        <w:t xml:space="preserve">inspection, KZDN-LD was observed </w:t>
      </w:r>
      <w:r w:rsidR="006A1267">
        <w:t>emanating radio frequency energy outside of its assigned channel, 470 – 476 MHz</w:t>
      </w:r>
      <w:r w:rsidR="00A921CD">
        <w:t>, with a third harmonic located at 1410 MHz.</w:t>
      </w:r>
      <w:r w:rsidR="006A1267">
        <w:t xml:space="preserve">  </w:t>
      </w:r>
      <w:r w:rsidR="00B04058">
        <w:t xml:space="preserve">The Denver Office subsequently confirmed that </w:t>
      </w:r>
      <w:r w:rsidR="006A1267">
        <w:t>KZDN-LD</w:t>
      </w:r>
      <w:r w:rsidR="00292F2E">
        <w:t xml:space="preserve"> </w:t>
      </w:r>
      <w:r w:rsidR="00B04058">
        <w:t>w</w:t>
      </w:r>
      <w:r w:rsidR="00292F2E">
        <w:t xml:space="preserve">as the source of </w:t>
      </w:r>
      <w:r w:rsidR="00A921CD">
        <w:t xml:space="preserve">the </w:t>
      </w:r>
      <w:r w:rsidR="00292F2E">
        <w:t>SMOS band interference</w:t>
      </w:r>
      <w:r w:rsidR="00A921CD">
        <w:t xml:space="preserve"> </w:t>
      </w:r>
      <w:r w:rsidR="00B04058">
        <w:t xml:space="preserve">by conducting an </w:t>
      </w:r>
      <w:r w:rsidR="00A921CD">
        <w:t xml:space="preserve">on/off test </w:t>
      </w:r>
      <w:r w:rsidR="00B04058">
        <w:t xml:space="preserve">that was </w:t>
      </w:r>
      <w:r w:rsidR="00A921CD">
        <w:t>coordinated with the ES</w:t>
      </w:r>
      <w:r w:rsidR="0081640E">
        <w:t>A during a</w:t>
      </w:r>
      <w:r w:rsidR="00A921CD">
        <w:t xml:space="preserve"> scheduled satellite pass.</w:t>
      </w:r>
      <w:r w:rsidR="006A1267">
        <w:t xml:space="preserve"> </w:t>
      </w:r>
      <w:r w:rsidR="004C632E">
        <w:t>When KZDN-LD was turned off, the interference ceased.</w:t>
      </w:r>
    </w:p>
    <w:p w:rsidR="00B7675E" w:rsidRPr="006A66EA" w:rsidP="006965B5" w14:paraId="5263D460" w14:textId="11A2554F">
      <w:pPr>
        <w:numPr>
          <w:ilvl w:val="0"/>
          <w:numId w:val="7"/>
        </w:numPr>
        <w:spacing w:after="120"/>
      </w:pPr>
      <w:r>
        <w:t>47 C.F.R. §</w:t>
      </w:r>
      <w:r w:rsidR="007C562E">
        <w:t xml:space="preserve"> 74.794</w:t>
      </w:r>
      <w:r>
        <w:t>(a)(2)(iii)</w:t>
      </w:r>
      <w:r w:rsidR="007C562E">
        <w:t>:  “</w:t>
      </w:r>
      <w:r w:rsidR="007C562E">
        <w:t xml:space="preserve">Out of Band Emissions.  </w:t>
      </w:r>
      <w:r w:rsidRPr="006A66EA">
        <w:t>(iii) </w:t>
      </w:r>
      <w:r w:rsidRPr="006A66EA">
        <w:t>Full service</w:t>
      </w:r>
      <w:r w:rsidRPr="006A66EA">
        <w:t xml:space="preserve"> mask: (A) The power level of emissions on frequencies outside the authorized channel of operation must be attenuated no less than the following amounts below the average transmitted power within the authorized channel</w:t>
      </w:r>
      <w:r w:rsidR="006A66EA">
        <w:t>…</w:t>
      </w:r>
      <w:r w:rsidR="00CD60EC">
        <w:t xml:space="preserve">.  More than 6 MHz from the channel edge, emissions must be attenuated no less than 110 </w:t>
      </w:r>
      <w:r w:rsidR="00CD60EC">
        <w:t>dB.</w:t>
      </w:r>
      <w:r w:rsidR="006A66EA">
        <w:t xml:space="preserve">”  </w:t>
      </w:r>
      <w:r w:rsidR="00811C16">
        <w:t xml:space="preserve">In the application to modify the existing </w:t>
      </w:r>
      <w:r w:rsidR="00811C16">
        <w:t>Construction Permit (</w:t>
      </w:r>
      <w:r w:rsidRPr="00811C16" w:rsidR="00811C16">
        <w:t>Minor Modification 0000052172</w:t>
      </w:r>
      <w:r w:rsidR="00811C16">
        <w:t xml:space="preserve"> covering File No. 0000060229)</w:t>
      </w:r>
      <w:r>
        <w:rPr>
          <w:rStyle w:val="FootnoteReference"/>
        </w:rPr>
        <w:footnoteReference w:id="5"/>
      </w:r>
      <w:r w:rsidR="00811C16">
        <w:t>,</w:t>
      </w:r>
      <w:r w:rsidR="004953EB">
        <w:t xml:space="preserve"> </w:t>
      </w:r>
      <w:r w:rsidR="00811C16">
        <w:t xml:space="preserve">KZDN-LD specified, </w:t>
      </w:r>
      <w:r w:rsidR="004953EB">
        <w:t xml:space="preserve">within the Antenna Technical Data section, the “Out-of-Channel Emission Mask” </w:t>
      </w:r>
      <w:r w:rsidR="00811C16">
        <w:t>to be</w:t>
      </w:r>
      <w:r w:rsidR="004953EB">
        <w:t xml:space="preserve"> F</w:t>
      </w:r>
      <w:r w:rsidR="00811C16">
        <w:t xml:space="preserve">ull Service.  </w:t>
      </w:r>
      <w:r w:rsidR="004953EB">
        <w:t>At the time of the in</w:t>
      </w:r>
      <w:r w:rsidR="004C632E">
        <w:t>vestigation</w:t>
      </w:r>
      <w:r w:rsidR="00811C16">
        <w:t xml:space="preserve">, </w:t>
      </w:r>
      <w:r w:rsidR="004C632E">
        <w:t xml:space="preserve">the </w:t>
      </w:r>
      <w:r w:rsidR="00811C16">
        <w:t>KZDN-LD</w:t>
      </w:r>
      <w:r w:rsidR="004C632E">
        <w:t xml:space="preserve"> t</w:t>
      </w:r>
      <w:r w:rsidR="00A921CD">
        <w:t xml:space="preserve">hird harmonic </w:t>
      </w:r>
      <w:r w:rsidR="004C632E">
        <w:t xml:space="preserve">was not attenuated from the fundamental by at least 110 </w:t>
      </w:r>
      <w:r w:rsidR="004C632E">
        <w:t>dB.</w:t>
      </w:r>
      <w:r w:rsidR="004C632E">
        <w:t xml:space="preserve">  </w:t>
      </w:r>
      <w:r w:rsidR="00292F2E">
        <w:t xml:space="preserve"> </w:t>
      </w:r>
    </w:p>
    <w:p w:rsidR="00292F2E" w:rsidP="00292F2E" w14:paraId="14E85A72" w14:textId="1BAF7AB0">
      <w:pPr>
        <w:numPr>
          <w:ilvl w:val="0"/>
          <w:numId w:val="7"/>
        </w:numPr>
        <w:spacing w:after="120"/>
      </w:pPr>
      <w:r>
        <w:t xml:space="preserve">47 C.F.R. § </w:t>
      </w:r>
      <w:r w:rsidR="00CE23EF">
        <w:t>73.1620(a)</w:t>
      </w:r>
      <w:r w:rsidR="00CE23EF">
        <w:t>:  “</w:t>
      </w:r>
      <w:r w:rsidR="00811C16">
        <w:t xml:space="preserve">Program Tests.  </w:t>
      </w:r>
      <w:r w:rsidRPr="00811C16" w:rsidR="00811C16">
        <w:t>Upon completion of construction of</w:t>
      </w:r>
      <w:r w:rsidR="00811C16">
        <w:t xml:space="preserve">…. </w:t>
      </w:r>
      <w:r w:rsidR="0081640E">
        <w:t>(the)</w:t>
      </w:r>
      <w:r w:rsidRPr="00811C16" w:rsidR="00811C16">
        <w:t xml:space="preserve"> station in accordance with the terms of the construction permit, the technical provisions of the application, the rules and regulations and the applicable engineering standards, program tests may be conducted</w:t>
      </w:r>
      <w:r w:rsidR="00811C16">
        <w:t>…”  A</w:t>
      </w:r>
      <w:r w:rsidR="00A11DD9">
        <w:t>t the time of the inspection, KZDN-LD was operating in a manner inconsistent with its authorization.  Specifically, KZDN-LD was operating prior to filing for Program Test Authority (PTA) as outlined in</w:t>
      </w:r>
      <w:r w:rsidR="00811C16">
        <w:t xml:space="preserve"> the Special Conditions cited in the station’s</w:t>
      </w:r>
      <w:r>
        <w:t xml:space="preserve"> Construction Permit, which states that “Program tests shall not be commenced under Section 73.1620(a) of the Commissions Rules and may only be started after specific authority is granted by the Commission.”</w:t>
      </w:r>
      <w:r>
        <w:rPr>
          <w:rStyle w:val="FootnoteReference"/>
        </w:rPr>
        <w:footnoteReference w:id="6"/>
      </w:r>
      <w:r w:rsidR="00A11DD9">
        <w:t xml:space="preserve">  </w:t>
      </w:r>
    </w:p>
    <w:p w:rsidR="008F05EC" w:rsidP="008F05EC" w14:paraId="32E2E4CC" w14:textId="09215575">
      <w:pPr>
        <w:pStyle w:val="ParaNum"/>
      </w:pPr>
      <w:r w:rsidRPr="008F05EC">
        <w:t xml:space="preserve">Pursuant to </w:t>
      </w:r>
      <w:r w:rsidR="00717A42">
        <w:t>s</w:t>
      </w:r>
      <w:r w:rsidRPr="008F05EC">
        <w:t>ection 308(b) of the Communications Act of 1934, as amended</w:t>
      </w:r>
      <w:r>
        <w:t xml:space="preserve"> (Act)</w:t>
      </w:r>
      <w:r w:rsidRPr="008F05EC">
        <w:t xml:space="preserve">, and </w:t>
      </w:r>
      <w:r w:rsidR="00717A42">
        <w:t>s</w:t>
      </w:r>
      <w:r w:rsidRPr="008F05EC">
        <w:t xml:space="preserve">ection 1.89 of the </w:t>
      </w:r>
      <w:r w:rsidR="00717A42">
        <w:t>Commission’s r</w:t>
      </w:r>
      <w:r w:rsidRPr="008F05EC">
        <w:t>ules, we seek additional information concerning the violations and any remedial actions taken.</w:t>
      </w:r>
      <w:r>
        <w:rPr>
          <w:rStyle w:val="FootnoteReference"/>
        </w:rPr>
        <w:footnoteReference w:id="7"/>
      </w:r>
      <w:r w:rsidRPr="008F05EC">
        <w:t xml:space="preserve">  Therefore, </w:t>
      </w:r>
      <w:r w:rsidR="00DB5AB9">
        <w:t>Syncom</w:t>
      </w:r>
      <w:r w:rsidR="00DB5AB9">
        <w:t xml:space="preserve">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8"/>
      </w:r>
    </w:p>
    <w:p w:rsidR="00AD2A9B" w:rsidP="00D55FBC" w14:paraId="0D0A6DF3" w14:textId="21BD534D">
      <w:pPr>
        <w:pStyle w:val="ParaNum"/>
      </w:pPr>
      <w:r w:rsidRPr="00D55FBC">
        <w:t xml:space="preserve">In accordance with </w:t>
      </w:r>
      <w:r w:rsidR="00717A42">
        <w:t>s</w:t>
      </w:r>
      <w:r w:rsidRPr="00D55FBC">
        <w:t xml:space="preserve">ection 1.16 of the </w:t>
      </w:r>
      <w:r>
        <w:t>Commission’s r</w:t>
      </w:r>
      <w:r w:rsidRPr="00D55FBC">
        <w:t xml:space="preserve">ules, we direct </w:t>
      </w:r>
      <w:r w:rsidR="00DB5AB9">
        <w:t>Syncom</w:t>
      </w:r>
      <w:r w:rsidR="00DB5AB9">
        <w:t xml:space="preserve"> </w:t>
      </w:r>
      <w:r w:rsidRPr="00D55FBC">
        <w:t>to support its response to this Notice with an affidavit or declaration under penalty of perjury, signed and dated by an authorized officer of</w:t>
      </w:r>
      <w:r w:rsidR="00DB5AB9">
        <w:t xml:space="preserve"> </w:t>
      </w:r>
      <w:r w:rsidR="00DB5AB9">
        <w:t>Syncom</w:t>
      </w:r>
      <w:r w:rsidR="00DB5AB9">
        <w:t>,</w:t>
      </w:r>
      <w:r w:rsidRPr="00D55FBC">
        <w:t xml:space="preserve"> with personal knowledge of the representations provided in</w:t>
      </w:r>
      <w:r w:rsidR="00DB5AB9">
        <w:t xml:space="preserve"> </w:t>
      </w:r>
      <w:r w:rsidR="00DB5AB9">
        <w:t>Syncom</w:t>
      </w:r>
      <w:r w:rsidRPr="00D55FBC">
        <w:t>’s</w:t>
      </w:r>
      <w:r w:rsidRPr="00D55FBC">
        <w:t xml:space="preserve"> response, verifying the truth and accuracy of the information therein, and confirming that all of the information requested by this Notice which is in </w:t>
      </w:r>
      <w:r w:rsidR="00305975">
        <w:t>Syncom</w:t>
      </w:r>
      <w:r w:rsidRPr="00D55FBC">
        <w:t>’s</w:t>
      </w:r>
      <w:r w:rsidRPr="00D55FBC">
        <w:t xml:space="preserve"> possession, custody, control, or knowledge has been produced.</w:t>
      </w:r>
      <w:r>
        <w:rPr>
          <w:rStyle w:val="FootnoteReference"/>
        </w:rPr>
        <w:footnoteReference w:id="9"/>
      </w:r>
      <w:r w:rsidRPr="00D55FBC">
        <w:t xml:space="preserve">  To knowingly and willfully make any false statement or conceal any material fact in reply to this Notice is punishable by fine or imprisonment under </w:t>
      </w:r>
      <w:r w:rsidR="00717A42">
        <w:t>t</w:t>
      </w:r>
      <w:r w:rsidRPr="00D55FBC">
        <w:t>itle 18 of the U.S. Code.</w:t>
      </w:r>
      <w:r>
        <w:rPr>
          <w:rStyle w:val="FootnoteReference"/>
        </w:rPr>
        <w:footnoteReference w:id="10"/>
      </w:r>
    </w:p>
    <w:p w:rsidR="00305975" w14:paraId="155A03F6" w14:textId="77777777">
      <w:pPr>
        <w:widowControl/>
      </w:pPr>
      <w:r>
        <w:br w:type="page"/>
      </w:r>
    </w:p>
    <w:p w:rsidR="00D55FBC" w:rsidP="00D55FBC" w14:paraId="54687F56" w14:textId="6A608EFA">
      <w:pPr>
        <w:pStyle w:val="ParaNum"/>
      </w:pPr>
      <w:r w:rsidRPr="00D55FBC">
        <w:t>All replies and documentation sent in response to this Notice should be marked with the File No. and NOV No. specified above, and mailed to the following address:</w:t>
      </w:r>
    </w:p>
    <w:p w:rsidR="002D2203" w:rsidP="002D2203" w14:paraId="449996F9" w14:textId="5341B003">
      <w:pPr>
        <w:pStyle w:val="ParaNum"/>
        <w:numPr>
          <w:ilvl w:val="0"/>
          <w:numId w:val="0"/>
        </w:numPr>
      </w:pPr>
    </w:p>
    <w:p w:rsidR="002D2203" w:rsidRPr="00361B87" w:rsidP="002D2203" w14:paraId="18AA6749" w14:textId="77777777">
      <w:pPr>
        <w:keepNext/>
        <w:keepLines/>
        <w:jc w:val="center"/>
        <w:rPr>
          <w:szCs w:val="22"/>
        </w:rPr>
      </w:pPr>
      <w:r w:rsidRPr="00361B87">
        <w:rPr>
          <w:szCs w:val="22"/>
        </w:rPr>
        <w:t>Federal Communications Commission</w:t>
      </w:r>
    </w:p>
    <w:p w:rsidR="002D2203" w:rsidRPr="00361B87" w:rsidP="002D2203" w14:paraId="5C4929F8" w14:textId="77777777">
      <w:pPr>
        <w:keepNext/>
        <w:keepLines/>
        <w:jc w:val="center"/>
        <w:rPr>
          <w:szCs w:val="22"/>
        </w:rPr>
      </w:pPr>
      <w:r>
        <w:rPr>
          <w:szCs w:val="22"/>
        </w:rPr>
        <w:t>Los Angeles Regional Office</w:t>
      </w:r>
    </w:p>
    <w:p w:rsidR="002D2203" w:rsidRPr="00361B87" w:rsidP="002D2203" w14:paraId="7DDBEFBF" w14:textId="77777777">
      <w:pPr>
        <w:keepNext/>
        <w:keepLines/>
        <w:jc w:val="center"/>
        <w:rPr>
          <w:szCs w:val="22"/>
        </w:rPr>
      </w:pPr>
      <w:r>
        <w:rPr>
          <w:szCs w:val="22"/>
        </w:rPr>
        <w:t>11331 183</w:t>
      </w:r>
      <w:r w:rsidRPr="008F4D50">
        <w:rPr>
          <w:szCs w:val="22"/>
          <w:vertAlign w:val="superscript"/>
        </w:rPr>
        <w:t>rd</w:t>
      </w:r>
      <w:r>
        <w:rPr>
          <w:szCs w:val="22"/>
        </w:rPr>
        <w:t xml:space="preserve"> Street, PMB #365</w:t>
      </w:r>
    </w:p>
    <w:p w:rsidR="002D2203" w:rsidP="002D2203" w14:paraId="79897EB9" w14:textId="77777777">
      <w:pPr>
        <w:keepNext/>
        <w:keepLines/>
        <w:jc w:val="center"/>
        <w:rPr>
          <w:szCs w:val="22"/>
        </w:rPr>
      </w:pPr>
      <w:r>
        <w:rPr>
          <w:szCs w:val="22"/>
        </w:rPr>
        <w:t>Cerritos, CA</w:t>
      </w:r>
      <w:r w:rsidRPr="00361B87">
        <w:rPr>
          <w:szCs w:val="22"/>
        </w:rPr>
        <w:t xml:space="preserve"> </w:t>
      </w:r>
      <w:r>
        <w:rPr>
          <w:szCs w:val="22"/>
        </w:rPr>
        <w:t>90703</w:t>
      </w:r>
    </w:p>
    <w:p w:rsidR="002D2203" w:rsidRPr="00361B87" w:rsidP="002D2203" w14:paraId="2ACF87A7" w14:textId="77777777">
      <w:pPr>
        <w:keepNext/>
        <w:keepLines/>
        <w:jc w:val="center"/>
        <w:rPr>
          <w:szCs w:val="22"/>
        </w:rPr>
      </w:pPr>
      <w:r>
        <w:rPr>
          <w:szCs w:val="22"/>
        </w:rPr>
        <w:t xml:space="preserve">Email:  </w:t>
      </w:r>
      <w:hyperlink r:id="rId5" w:history="1">
        <w:r w:rsidRPr="00AB5586">
          <w:rPr>
            <w:rStyle w:val="Hyperlink"/>
            <w:szCs w:val="22"/>
          </w:rPr>
          <w:t>FIELD@FCC.GOV</w:t>
        </w:r>
      </w:hyperlink>
    </w:p>
    <w:p w:rsidR="00D55FBC" w:rsidP="00D55FBC" w14:paraId="6F6D52AF" w14:textId="7A799D65">
      <w:pPr>
        <w:spacing w:after="120"/>
        <w:ind w:left="2160"/>
      </w:pPr>
    </w:p>
    <w:p w:rsidR="00D55FBC" w:rsidP="00D55FBC" w14:paraId="532EE6AF" w14:textId="603EF7ED">
      <w:pPr>
        <w:pStyle w:val="ParaNum"/>
      </w:pPr>
      <w:r w:rsidRPr="00D55FBC">
        <w:t>This Notice shall be sent to</w:t>
      </w:r>
      <w:r w:rsidR="00DB5AB9">
        <w:t xml:space="preserve"> </w:t>
      </w:r>
      <w:r w:rsidR="00DB5AB9">
        <w:t>Syncom</w:t>
      </w:r>
      <w:r w:rsidR="00DB5AB9">
        <w:t xml:space="preserve"> Media Group, Inc.,</w:t>
      </w:r>
      <w:r w:rsidRPr="00D55FBC">
        <w:t xml:space="preserve"> </w:t>
      </w:r>
      <w:r>
        <w:t>at</w:t>
      </w:r>
      <w:r w:rsidR="00DB5AB9">
        <w:t xml:space="preserve"> </w:t>
      </w:r>
      <w:r>
        <w:t>its</w:t>
      </w:r>
      <w:r w:rsidR="00DB5AB9">
        <w:t xml:space="preserve"> </w:t>
      </w:r>
      <w:r w:rsidRPr="00D55FBC">
        <w:t>address of record</w:t>
      </w:r>
      <w:r w:rsidR="00DB5AB9">
        <w:t xml:space="preserve">, and </w:t>
      </w:r>
      <w:r w:rsidR="00DB5AB9">
        <w:t>Syncom</w:t>
      </w:r>
      <w:r>
        <w:t>’s</w:t>
      </w:r>
      <w:r>
        <w:t xml:space="preserve"> counsel,</w:t>
      </w:r>
      <w:r w:rsidR="00DB5AB9">
        <w:t xml:space="preserve"> Peter </w:t>
      </w:r>
      <w:r w:rsidR="00DB5AB9">
        <w:t>Tannenwald</w:t>
      </w:r>
      <w:r w:rsidR="00DB5AB9">
        <w:t>, FLETCHER, HEALD &amp; HILDREDTH, P.L.C.,</w:t>
      </w:r>
      <w:r>
        <w:t xml:space="preserve"> at </w:t>
      </w:r>
      <w:r w:rsidR="00DB5AB9">
        <w:t>1300 N 17</w:t>
      </w:r>
      <w:r w:rsidRPr="00DB5AB9" w:rsidR="00DB5AB9">
        <w:rPr>
          <w:vertAlign w:val="superscript"/>
        </w:rPr>
        <w:t>th</w:t>
      </w:r>
      <w:r w:rsidR="00DB5AB9">
        <w:t xml:space="preserve"> Street, 11</w:t>
      </w:r>
      <w:r w:rsidRPr="00DB5AB9" w:rsidR="00DB5AB9">
        <w:rPr>
          <w:vertAlign w:val="superscript"/>
        </w:rPr>
        <w:t>th</w:t>
      </w:r>
      <w:r w:rsidR="00DB5AB9">
        <w:t xml:space="preserve"> Floor, Arlington, Virginia 22209</w:t>
      </w:r>
      <w:r w:rsidRPr="00D55FBC">
        <w:t xml:space="preserve">.  </w:t>
      </w:r>
    </w:p>
    <w:p w:rsidR="00D55FBC" w:rsidP="00ED4640" w14:paraId="23DFCC19" w14:textId="22B4DD25">
      <w:pPr>
        <w:pStyle w:val="ParaNum"/>
        <w:keepNext/>
      </w:pPr>
      <w:r w:rsidRPr="00D55FBC">
        <w:t>The Privacy Act of 1974</w:t>
      </w:r>
      <w:r>
        <w:rPr>
          <w:rStyle w:val="FootnoteReference"/>
        </w:rPr>
        <w:footnoteReference w:id="11"/>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B72C47" w:rsidP="00A26924" w14:paraId="5AA749BC" w14:textId="77777777">
      <w:pPr>
        <w:pStyle w:val="ParaNum"/>
        <w:keepNext/>
        <w:numPr>
          <w:ilvl w:val="0"/>
          <w:numId w:val="0"/>
        </w:numPr>
        <w:ind w:firstLine="720"/>
      </w:pPr>
    </w:p>
    <w:p w:rsidR="00D55FBC" w:rsidP="00ED4640" w14:paraId="167DDF59" w14:textId="334BFFCE">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2D2203" w:rsidP="00ED4640" w14:paraId="32C4DA9E" w14:textId="77777777">
      <w:pPr>
        <w:keepNext/>
      </w:pPr>
      <w:r>
        <w:tab/>
      </w:r>
      <w:r>
        <w:tab/>
      </w:r>
      <w:r>
        <w:tab/>
      </w:r>
      <w:r>
        <w:tab/>
      </w:r>
      <w:r>
        <w:tab/>
      </w:r>
      <w:r>
        <w:tab/>
      </w:r>
    </w:p>
    <w:p w:rsidR="002D2203" w:rsidP="00ED4640" w14:paraId="3A760FE0" w14:textId="77777777">
      <w:pPr>
        <w:keepNext/>
      </w:pPr>
    </w:p>
    <w:p w:rsidR="002D2203" w:rsidRPr="004238C5" w:rsidP="00A26924" w14:paraId="5E4BE508" w14:textId="77777777">
      <w:pPr>
        <w:ind w:left="3600" w:firstLine="720"/>
        <w:rPr>
          <w:szCs w:val="22"/>
        </w:rPr>
      </w:pPr>
      <w:r>
        <w:rPr>
          <w:szCs w:val="22"/>
        </w:rPr>
        <w:t>Lark Hadley</w:t>
      </w:r>
    </w:p>
    <w:p w:rsidR="002D2203" w:rsidP="00A26924" w14:paraId="209E49E3" w14:textId="77777777">
      <w:pPr>
        <w:ind w:left="3600" w:firstLine="720"/>
        <w:rPr>
          <w:szCs w:val="22"/>
        </w:rPr>
      </w:pPr>
      <w:r>
        <w:rPr>
          <w:szCs w:val="22"/>
        </w:rPr>
        <w:t>Regional Director</w:t>
      </w:r>
    </w:p>
    <w:p w:rsidR="002D2203" w:rsidRPr="004238C5" w:rsidP="00A26924" w14:paraId="7385451B" w14:textId="77777777">
      <w:pPr>
        <w:ind w:left="3600" w:firstLine="720"/>
        <w:rPr>
          <w:szCs w:val="22"/>
        </w:rPr>
      </w:pPr>
      <w:r>
        <w:rPr>
          <w:szCs w:val="22"/>
        </w:rPr>
        <w:t>Region Three</w:t>
      </w:r>
    </w:p>
    <w:p w:rsidR="002D2203" w:rsidRPr="002D2203" w:rsidP="006965B5" w14:paraId="5AB90D20" w14:textId="77316F9C">
      <w:pPr>
        <w:ind w:left="3600" w:firstLine="720"/>
      </w:pPr>
      <w:r w:rsidRPr="002D2203">
        <w:t>Enforcement Bureau</w:t>
      </w:r>
    </w:p>
    <w:p w:rsidR="002D2203" w:rsidRPr="00D55FBC" w:rsidP="002D2203" w14:paraId="7DFB10BF" w14:textId="1C1B2920">
      <w:pPr>
        <w:keepNext/>
      </w:pPr>
      <w:r>
        <w:tab/>
      </w:r>
      <w:r>
        <w:tab/>
      </w:r>
      <w:r>
        <w:tab/>
      </w:r>
      <w:r>
        <w:tab/>
      </w:r>
      <w:r>
        <w:tab/>
      </w:r>
      <w:r>
        <w:tab/>
      </w:r>
    </w:p>
    <w:p w:rsidR="00D55FBC" w:rsidRPr="00D55FBC" w:rsidP="00ED4640" w14:paraId="625594D4" w14:textId="1D87BA48">
      <w:pPr>
        <w:keepNext/>
      </w:pPr>
    </w:p>
    <w:p w:rsidR="00D55FBC" w:rsidRPr="00AD2A9B" w:rsidP="00D55FBC" w14:paraId="0F94A91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7016A4">
      <w:rPr>
        <w:noProof/>
      </w:rPr>
      <w:t>3</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10F9" w14:paraId="5CFF0158" w14:textId="77777777">
      <w:r>
        <w:separator/>
      </w:r>
    </w:p>
  </w:footnote>
  <w:footnote w:type="continuationSeparator" w:id="1">
    <w:p w:rsidR="005710F9" w:rsidP="00C721AC" w14:paraId="57B54754" w14:textId="77777777">
      <w:pPr>
        <w:spacing w:before="120"/>
        <w:rPr>
          <w:sz w:val="20"/>
        </w:rPr>
      </w:pPr>
      <w:r>
        <w:rPr>
          <w:sz w:val="20"/>
        </w:rPr>
        <w:t xml:space="preserve">(Continued from previous page)  </w:t>
      </w:r>
      <w:r>
        <w:rPr>
          <w:sz w:val="20"/>
        </w:rPr>
        <w:separator/>
      </w:r>
    </w:p>
  </w:footnote>
  <w:footnote w:type="continuationNotice" w:id="2">
    <w:p w:rsidR="005710F9" w:rsidP="00C721AC" w14:paraId="65E301CA"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4953EB" w14:paraId="0FADD8DE" w14:textId="578A7DFE">
      <w:pPr>
        <w:pStyle w:val="FootnoteText"/>
      </w:pPr>
      <w:r>
        <w:rPr>
          <w:rStyle w:val="FootnoteReference"/>
        </w:rPr>
        <w:footnoteRef/>
      </w:r>
      <w:r>
        <w:t xml:space="preserve"> See KZDN-LD Application at File No. 0000060229 </w:t>
      </w:r>
      <w:r w:rsidRPr="004953EB">
        <w:t>(</w:t>
      </w:r>
      <w:hyperlink r:id="rId1" w:history="1">
        <w:r w:rsidRPr="004953EB">
          <w:rPr>
            <w:snapToGrid w:val="0"/>
            <w:color w:val="0000FF"/>
            <w:kern w:val="28"/>
            <w:u w:val="single"/>
          </w:rPr>
          <w:t>https://enterpriseefiling.fcc.gov/dataentry/public/tv/draftCopy.html?displayType=html&amp;appKey=25076ff366288fa4016635ea1db819c6&amp;id=25076ff366288fa4016635ea1db819c6&amp;goBack=N</w:t>
        </w:r>
      </w:hyperlink>
      <w:r w:rsidRPr="004953EB">
        <w:rPr>
          <w:snapToGrid w:val="0"/>
          <w:kern w:val="28"/>
        </w:rPr>
        <w:t>)</w:t>
      </w:r>
    </w:p>
  </w:footnote>
  <w:footnote w:id="6">
    <w:p w:rsidR="00292F2E" w14:paraId="139BFF8F" w14:textId="26210FD3">
      <w:pPr>
        <w:pStyle w:val="FootnoteText"/>
      </w:pPr>
      <w:r>
        <w:rPr>
          <w:rStyle w:val="FootnoteReference"/>
        </w:rPr>
        <w:footnoteRef/>
      </w:r>
      <w:r>
        <w:t xml:space="preserve"> Ibid, see specifically the Authorization generated at this URL.</w:t>
      </w:r>
    </w:p>
  </w:footnote>
  <w:footnote w:id="7">
    <w:p w:rsidR="008F05EC" w:rsidRPr="008F05EC" w14:paraId="38A560B6" w14:textId="00510729">
      <w:pPr>
        <w:pStyle w:val="FootnoteText"/>
      </w:pPr>
      <w:r>
        <w:rPr>
          <w:rStyle w:val="FootnoteReference"/>
        </w:rPr>
        <w:footnoteRef/>
      </w:r>
      <w:r>
        <w:t xml:space="preserve"> 47 U.S.C. </w:t>
      </w:r>
      <w:r w:rsidR="00292F2E">
        <w:t>3</w:t>
      </w:r>
      <w:r>
        <w:t>08(b); 47 CFR § 1.89.</w:t>
      </w:r>
    </w:p>
  </w:footnote>
  <w:footnote w:id="8">
    <w:p w:rsidR="00D55FBC" w14:paraId="26AEBABE" w14:textId="75A21E36">
      <w:pPr>
        <w:pStyle w:val="FootnoteText"/>
      </w:pPr>
      <w:r>
        <w:rPr>
          <w:rStyle w:val="FootnoteReference"/>
        </w:rPr>
        <w:footnoteRef/>
      </w:r>
      <w:r>
        <w:t xml:space="preserve"> 47 CFR § 1.89(c).</w:t>
      </w:r>
    </w:p>
  </w:footnote>
  <w:footnote w:id="9">
    <w:p w:rsidR="00D55FBC" w14:paraId="0A081617" w14:textId="62FAECAE">
      <w:pPr>
        <w:pStyle w:val="FootnoteText"/>
      </w:pPr>
      <w:r>
        <w:rPr>
          <w:rStyle w:val="FootnoteReference"/>
        </w:rPr>
        <w:footnoteRef/>
      </w:r>
      <w:r>
        <w:t xml:space="preserve"> </w:t>
      </w:r>
      <w:r w:rsidRPr="00D55FBC">
        <w:t xml:space="preserve">Section 1.16 of the </w:t>
      </w:r>
      <w:r w:rsidR="00BE4EF4">
        <w:t>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0">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1">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7B08" w14:paraId="7B7872BD" w14:textId="428DF3F3">
    <w:pPr>
      <w:pStyle w:val="Header"/>
      <w:ind w:firstLine="0"/>
    </w:pPr>
    <w:r>
      <w:tab/>
    </w:r>
    <w:r>
      <w:t>Federal Communications Commission</w:t>
    </w:r>
  </w:p>
  <w:p w:rsidR="00D25FB5" w14:paraId="56D6C3C1" w14:textId="129CCE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72F00" w:rsidP="00772F00" w14:paraId="6541F9E7" w14:textId="28D55975">
    <w:pPr>
      <w:pStyle w:val="Header"/>
      <w:ind w:firstLine="0"/>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772F00">
      <w:tab/>
    </w:r>
    <w:r w:rsidRPr="00772F00">
      <w:t>Federal Communications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4A7923"/>
    <w:multiLevelType w:val="hybridMultilevel"/>
    <w:tmpl w:val="8E000D78"/>
    <w:lvl w:ilvl="0">
      <w:start w:val="1"/>
      <w:numFmt w:val="decimal"/>
      <w:lvlText w:val="%1."/>
      <w:lvlJc w:val="left"/>
      <w:pPr>
        <w:tabs>
          <w:tab w:val="num" w:pos="990"/>
        </w:tabs>
        <w:ind w:left="990" w:hanging="360"/>
      </w:pPr>
      <w:rPr>
        <w:rFonts w:hint="default"/>
        <w:b w:val="0"/>
        <w:i w:val="0"/>
        <w:vertAlign w:val="baseline"/>
      </w:rPr>
    </w:lvl>
    <w:lvl w:ilvl="1">
      <w:start w:val="1"/>
      <w:numFmt w:val="lowerLetter"/>
      <w:lvlText w:val="%2."/>
      <w:lvlJc w:val="left"/>
      <w:pPr>
        <w:tabs>
          <w:tab w:val="num" w:pos="2790"/>
        </w:tabs>
        <w:ind w:left="2790" w:hanging="1440"/>
      </w:pPr>
      <w:rPr>
        <w:rFonts w:hint="default"/>
      </w:rPr>
    </w:lvl>
    <w:lvl w:ilvl="2">
      <w:start w:val="1"/>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C51"/>
    <w:rsid w:val="00036039"/>
    <w:rsid w:val="00037F90"/>
    <w:rsid w:val="00050BF6"/>
    <w:rsid w:val="000543DA"/>
    <w:rsid w:val="00061B40"/>
    <w:rsid w:val="000668CC"/>
    <w:rsid w:val="00083CB6"/>
    <w:rsid w:val="000875BF"/>
    <w:rsid w:val="00096D8C"/>
    <w:rsid w:val="000C0B65"/>
    <w:rsid w:val="000E05FE"/>
    <w:rsid w:val="000E2B36"/>
    <w:rsid w:val="000E3D42"/>
    <w:rsid w:val="00122BD5"/>
    <w:rsid w:val="00133F79"/>
    <w:rsid w:val="00194A66"/>
    <w:rsid w:val="001D6BCF"/>
    <w:rsid w:val="001E01CA"/>
    <w:rsid w:val="00275CF5"/>
    <w:rsid w:val="0028301F"/>
    <w:rsid w:val="00285017"/>
    <w:rsid w:val="002877C5"/>
    <w:rsid w:val="00292F2E"/>
    <w:rsid w:val="002A2D2E"/>
    <w:rsid w:val="002C00E8"/>
    <w:rsid w:val="002D2203"/>
    <w:rsid w:val="00305975"/>
    <w:rsid w:val="00343749"/>
    <w:rsid w:val="00361B87"/>
    <w:rsid w:val="003660ED"/>
    <w:rsid w:val="003B0550"/>
    <w:rsid w:val="003B694F"/>
    <w:rsid w:val="003F171C"/>
    <w:rsid w:val="00402E77"/>
    <w:rsid w:val="00412FC5"/>
    <w:rsid w:val="00422276"/>
    <w:rsid w:val="004238C5"/>
    <w:rsid w:val="004242F1"/>
    <w:rsid w:val="00445A00"/>
    <w:rsid w:val="00451B0F"/>
    <w:rsid w:val="004953EB"/>
    <w:rsid w:val="004C2EE3"/>
    <w:rsid w:val="004C632E"/>
    <w:rsid w:val="004E4A22"/>
    <w:rsid w:val="004E7B08"/>
    <w:rsid w:val="00511968"/>
    <w:rsid w:val="0055614C"/>
    <w:rsid w:val="005710F9"/>
    <w:rsid w:val="005A7EE4"/>
    <w:rsid w:val="005E14C2"/>
    <w:rsid w:val="00607BA5"/>
    <w:rsid w:val="0061180A"/>
    <w:rsid w:val="00626EB6"/>
    <w:rsid w:val="00655D03"/>
    <w:rsid w:val="00683388"/>
    <w:rsid w:val="00683F84"/>
    <w:rsid w:val="006965B5"/>
    <w:rsid w:val="006A1267"/>
    <w:rsid w:val="006A66EA"/>
    <w:rsid w:val="006A6A81"/>
    <w:rsid w:val="006C19C8"/>
    <w:rsid w:val="006C1B7E"/>
    <w:rsid w:val="006F7393"/>
    <w:rsid w:val="007016A4"/>
    <w:rsid w:val="0070224F"/>
    <w:rsid w:val="007115F7"/>
    <w:rsid w:val="00717A42"/>
    <w:rsid w:val="00741DFD"/>
    <w:rsid w:val="0077025A"/>
    <w:rsid w:val="00772F00"/>
    <w:rsid w:val="00785689"/>
    <w:rsid w:val="0079754B"/>
    <w:rsid w:val="007A1E6D"/>
    <w:rsid w:val="007B0EB2"/>
    <w:rsid w:val="007C562E"/>
    <w:rsid w:val="00810B6F"/>
    <w:rsid w:val="00811C16"/>
    <w:rsid w:val="0081640E"/>
    <w:rsid w:val="00822C51"/>
    <w:rsid w:val="00822CE0"/>
    <w:rsid w:val="00841AB1"/>
    <w:rsid w:val="008C68F1"/>
    <w:rsid w:val="008F05EC"/>
    <w:rsid w:val="008F4D50"/>
    <w:rsid w:val="00921803"/>
    <w:rsid w:val="00926503"/>
    <w:rsid w:val="009472FA"/>
    <w:rsid w:val="00953993"/>
    <w:rsid w:val="009726D8"/>
    <w:rsid w:val="00975222"/>
    <w:rsid w:val="009F76DB"/>
    <w:rsid w:val="00A11DD9"/>
    <w:rsid w:val="00A26924"/>
    <w:rsid w:val="00A32C3B"/>
    <w:rsid w:val="00A45F4F"/>
    <w:rsid w:val="00A600A9"/>
    <w:rsid w:val="00A629B7"/>
    <w:rsid w:val="00A902A9"/>
    <w:rsid w:val="00A921CD"/>
    <w:rsid w:val="00AA55B7"/>
    <w:rsid w:val="00AA5B9E"/>
    <w:rsid w:val="00AB2407"/>
    <w:rsid w:val="00AB53DF"/>
    <w:rsid w:val="00AB5586"/>
    <w:rsid w:val="00AD2A9B"/>
    <w:rsid w:val="00B04058"/>
    <w:rsid w:val="00B07E5C"/>
    <w:rsid w:val="00B72C47"/>
    <w:rsid w:val="00B7675E"/>
    <w:rsid w:val="00B811F7"/>
    <w:rsid w:val="00BA5DC6"/>
    <w:rsid w:val="00BA6196"/>
    <w:rsid w:val="00BC6D8C"/>
    <w:rsid w:val="00BE4EF4"/>
    <w:rsid w:val="00C34006"/>
    <w:rsid w:val="00C35F62"/>
    <w:rsid w:val="00C426B1"/>
    <w:rsid w:val="00C66160"/>
    <w:rsid w:val="00C721AC"/>
    <w:rsid w:val="00C90D6A"/>
    <w:rsid w:val="00CA247E"/>
    <w:rsid w:val="00CC72B6"/>
    <w:rsid w:val="00CD60EC"/>
    <w:rsid w:val="00CE23EF"/>
    <w:rsid w:val="00CE2F8F"/>
    <w:rsid w:val="00D0218D"/>
    <w:rsid w:val="00D14264"/>
    <w:rsid w:val="00D25FB5"/>
    <w:rsid w:val="00D44223"/>
    <w:rsid w:val="00D444DA"/>
    <w:rsid w:val="00D55FBC"/>
    <w:rsid w:val="00DA2529"/>
    <w:rsid w:val="00DB130A"/>
    <w:rsid w:val="00DB2EBB"/>
    <w:rsid w:val="00DB5AB9"/>
    <w:rsid w:val="00DC10A1"/>
    <w:rsid w:val="00DC655F"/>
    <w:rsid w:val="00DD0B59"/>
    <w:rsid w:val="00DD7EBD"/>
    <w:rsid w:val="00DF62B6"/>
    <w:rsid w:val="00E07225"/>
    <w:rsid w:val="00E47F85"/>
    <w:rsid w:val="00E5298D"/>
    <w:rsid w:val="00E5409F"/>
    <w:rsid w:val="00E64CAF"/>
    <w:rsid w:val="00EB2194"/>
    <w:rsid w:val="00ED4640"/>
    <w:rsid w:val="00EE6488"/>
    <w:rsid w:val="00F021FA"/>
    <w:rsid w:val="00F037F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72F00"/>
    <w:pPr>
      <w:tabs>
        <w:tab w:val="center" w:pos="4680"/>
        <w:tab w:val="right" w:pos="9360"/>
      </w:tabs>
      <w:ind w:firstLine="4680"/>
    </w:pPr>
    <w:rPr>
      <w:b/>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odyTextIndent">
    <w:name w:val="Body Text Indent"/>
    <w:basedOn w:val="Normal"/>
    <w:link w:val="BodyTextIndentChar"/>
    <w:uiPriority w:val="99"/>
    <w:rsid w:val="00E64CAF"/>
    <w:pPr>
      <w:ind w:firstLine="720"/>
    </w:pPr>
    <w:rPr>
      <w:rFonts w:ascii="CG Times" w:hAnsi="CG Times"/>
      <w:kern w:val="0"/>
      <w:sz w:val="24"/>
    </w:rPr>
  </w:style>
  <w:style w:type="character" w:customStyle="1" w:styleId="BodyTextIndentChar">
    <w:name w:val="Body Text Indent Char"/>
    <w:basedOn w:val="DefaultParagraphFont"/>
    <w:link w:val="BodyTextIndent"/>
    <w:uiPriority w:val="99"/>
    <w:rsid w:val="00E64CAF"/>
    <w:rPr>
      <w:rFonts w:ascii="CG Times" w:hAnsi="CG Times"/>
      <w:snapToGrid w:val="0"/>
      <w:sz w:val="24"/>
    </w:rPr>
  </w:style>
  <w:style w:type="paragraph" w:styleId="NormalWeb">
    <w:name w:val="Normal (Web)"/>
    <w:basedOn w:val="Normal"/>
    <w:uiPriority w:val="99"/>
    <w:unhideWhenUsed/>
    <w:rsid w:val="00B7675E"/>
    <w:pPr>
      <w:widowControl/>
      <w:spacing w:before="100" w:beforeAutospacing="1" w:after="100" w:afterAutospacing="1"/>
    </w:pPr>
    <w:rPr>
      <w:snapToGrid/>
      <w:kern w:val="0"/>
      <w:sz w:val="24"/>
      <w:szCs w:val="24"/>
    </w:rPr>
  </w:style>
  <w:style w:type="paragraph" w:customStyle="1" w:styleId="fp-2">
    <w:name w:val="fp-2"/>
    <w:basedOn w:val="Normal"/>
    <w:rsid w:val="00B7675E"/>
    <w:pPr>
      <w:widowControl/>
      <w:spacing w:before="100" w:beforeAutospacing="1" w:after="100" w:afterAutospacing="1"/>
    </w:pPr>
    <w:rPr>
      <w:snapToGrid/>
      <w:kern w:val="0"/>
      <w:sz w:val="24"/>
      <w:szCs w:val="24"/>
    </w:rPr>
  </w:style>
  <w:style w:type="paragraph" w:customStyle="1" w:styleId="fp">
    <w:name w:val="fp"/>
    <w:basedOn w:val="Normal"/>
    <w:rsid w:val="00B7675E"/>
    <w:pPr>
      <w:widowControl/>
      <w:spacing w:before="100" w:beforeAutospacing="1" w:after="100" w:afterAutospacing="1"/>
    </w:pPr>
    <w:rPr>
      <w:snapToGrid/>
      <w:kern w:val="0"/>
      <w:sz w:val="24"/>
      <w:szCs w:val="24"/>
    </w:rPr>
  </w:style>
  <w:style w:type="character" w:styleId="Strong">
    <w:name w:val="Strong"/>
    <w:basedOn w:val="DefaultParagraphFont"/>
    <w:uiPriority w:val="22"/>
    <w:qFormat/>
    <w:rsid w:val="00DB5AB9"/>
    <w:rPr>
      <w:b/>
      <w:bCs/>
    </w:rPr>
  </w:style>
  <w:style w:type="paragraph" w:styleId="ListParagraph">
    <w:name w:val="List Paragraph"/>
    <w:basedOn w:val="Normal"/>
    <w:uiPriority w:val="34"/>
    <w:qFormat/>
    <w:rsid w:val="00292F2E"/>
    <w:pPr>
      <w:ind w:left="720"/>
      <w:contextualSpacing/>
    </w:pPr>
  </w:style>
  <w:style w:type="paragraph" w:styleId="BalloonText">
    <w:name w:val="Balloon Text"/>
    <w:basedOn w:val="Normal"/>
    <w:link w:val="BalloonTextChar"/>
    <w:rsid w:val="00A26924"/>
    <w:rPr>
      <w:rFonts w:ascii="Segoe UI" w:hAnsi="Segoe UI" w:cs="Segoe UI"/>
      <w:sz w:val="18"/>
      <w:szCs w:val="18"/>
    </w:rPr>
  </w:style>
  <w:style w:type="character" w:customStyle="1" w:styleId="BalloonTextChar">
    <w:name w:val="Balloon Text Char"/>
    <w:basedOn w:val="DefaultParagraphFont"/>
    <w:link w:val="BalloonText"/>
    <w:rsid w:val="00A2692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nterpriseefiling.fcc.gov/dataentry/public/tv/draftCopy.html?displayType=html&amp;appKey=25076ff366288fa4016635ea1db819c6&amp;id=25076ff366288fa4016635ea1db819c6&amp;goBack=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