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224086"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423734"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w:t>
            </w:r>
          </w:p>
          <w:p w:rsidR="00E34E3F" w:rsidRPr="00B47F70" w:rsidP="00A41840">
            <w:pPr>
              <w:widowControl w:val="0"/>
              <w:autoSpaceDE w:val="0"/>
              <w:autoSpaceDN w:val="0"/>
              <w:adjustRightInd w:val="0"/>
              <w:jc w:val="center"/>
              <w:rPr>
                <w:b/>
                <w:bCs/>
                <w:caps/>
              </w:rPr>
            </w:pPr>
            <w:r w:rsidRPr="00B47F70">
              <w:rPr>
                <w:b/>
                <w:bCs/>
                <w:caps/>
              </w:rPr>
              <w:t xml:space="preserve">FOR </w:t>
            </w:r>
            <w:r w:rsidR="005021C4">
              <w:rPr>
                <w:b/>
                <w:bCs/>
                <w:caps/>
              </w:rPr>
              <w:t>SEPTEMBER</w:t>
            </w:r>
            <w:r w:rsidRPr="00B47F7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Pr="005021C4" w:rsidR="005021C4">
              <w:rPr>
                <w:sz w:val="22"/>
                <w:szCs w:val="22"/>
              </w:rPr>
              <w:t>September 5</w:t>
            </w:r>
            <w:r w:rsidRPr="005021C4" w:rsidR="00D148D6">
              <w:rPr>
                <w:sz w:val="22"/>
                <w:szCs w:val="22"/>
              </w:rPr>
              <w:t>, 201</w:t>
            </w:r>
            <w:r w:rsidRPr="005021C4" w:rsidR="000D7889">
              <w:rPr>
                <w:sz w:val="22"/>
                <w:szCs w:val="22"/>
              </w:rPr>
              <w:t>9</w:t>
            </w:r>
            <w:r w:rsidRPr="005021C4" w:rsidR="00641CD8">
              <w:rPr>
                <w:sz w:val="22"/>
                <w:szCs w:val="22"/>
              </w:rPr>
              <w:t>—</w:t>
            </w:r>
            <w:r w:rsidRPr="005021C4">
              <w:rPr>
                <w:sz w:val="22"/>
                <w:szCs w:val="22"/>
              </w:rPr>
              <w:t xml:space="preserve">Federal Communications Commission Chairman </w:t>
            </w:r>
            <w:r w:rsidRPr="005021C4" w:rsidR="00A27E96">
              <w:rPr>
                <w:sz w:val="22"/>
                <w:szCs w:val="22"/>
              </w:rPr>
              <w:t xml:space="preserve">Ajit Pai </w:t>
            </w:r>
            <w:r w:rsidRPr="005021C4">
              <w:rPr>
                <w:sz w:val="22"/>
                <w:szCs w:val="22"/>
              </w:rPr>
              <w:t xml:space="preserve">announced that the items </w:t>
            </w:r>
            <w:r w:rsidRPr="005021C4" w:rsidR="000D7889">
              <w:rPr>
                <w:sz w:val="22"/>
                <w:szCs w:val="22"/>
              </w:rPr>
              <w:t xml:space="preserve">below </w:t>
            </w:r>
            <w:r w:rsidRPr="005021C4">
              <w:rPr>
                <w:sz w:val="22"/>
                <w:szCs w:val="22"/>
              </w:rPr>
              <w:t xml:space="preserve">are tentatively on the agenda for the </w:t>
            </w:r>
            <w:r w:rsidRPr="005021C4" w:rsidR="005021C4">
              <w:rPr>
                <w:sz w:val="22"/>
                <w:szCs w:val="22"/>
              </w:rPr>
              <w:t>September</w:t>
            </w:r>
            <w:r w:rsidRPr="005021C4">
              <w:rPr>
                <w:sz w:val="22"/>
                <w:szCs w:val="22"/>
              </w:rPr>
              <w:t xml:space="preserve"> Open Commission Meeting scheduled for </w:t>
            </w:r>
            <w:r w:rsidRPr="005021C4" w:rsidR="00D148D6">
              <w:rPr>
                <w:sz w:val="22"/>
                <w:szCs w:val="22"/>
              </w:rPr>
              <w:t xml:space="preserve">Thursday, </w:t>
            </w:r>
            <w:r w:rsidRPr="005021C4" w:rsidR="005021C4">
              <w:rPr>
                <w:sz w:val="22"/>
                <w:szCs w:val="22"/>
              </w:rPr>
              <w:t>September 2</w:t>
            </w:r>
            <w:r w:rsidRPr="005021C4" w:rsidR="00D148D6">
              <w:rPr>
                <w:sz w:val="22"/>
                <w:szCs w:val="22"/>
              </w:rPr>
              <w:t>6, 201</w:t>
            </w:r>
            <w:r w:rsidRPr="005021C4" w:rsidR="000D7889">
              <w:rPr>
                <w:sz w:val="22"/>
                <w:szCs w:val="22"/>
              </w:rPr>
              <w:t>9</w:t>
            </w:r>
            <w:r w:rsidRPr="005021C4">
              <w:rPr>
                <w:sz w:val="22"/>
                <w:szCs w:val="22"/>
              </w:rPr>
              <w:t>:</w:t>
            </w:r>
          </w:p>
          <w:p w:rsidR="00A41840" w:rsidP="00A41840">
            <w:pPr>
              <w:tabs>
                <w:tab w:val="left" w:pos="8640"/>
              </w:tabs>
              <w:rPr>
                <w:b/>
                <w:bCs/>
                <w:sz w:val="22"/>
                <w:szCs w:val="22"/>
                <w:highlight w:val="yellow"/>
              </w:rPr>
            </w:pPr>
          </w:p>
          <w:p w:rsidR="00C871C5" w:rsidRPr="00C871C5" w:rsidP="00A41840">
            <w:pPr>
              <w:tabs>
                <w:tab w:val="left" w:pos="8640"/>
              </w:tabs>
              <w:rPr>
                <w:bCs/>
                <w:sz w:val="22"/>
                <w:szCs w:val="22"/>
                <w:highlight w:val="yellow"/>
              </w:rPr>
            </w:pPr>
            <w:r w:rsidRPr="00C871C5">
              <w:rPr>
                <w:b/>
                <w:bCs/>
                <w:sz w:val="22"/>
                <w:szCs w:val="22"/>
              </w:rPr>
              <w:t xml:space="preserve">The Uniendo a Puerto Rico Fund and Connect USVI Fund – </w:t>
            </w:r>
            <w:r w:rsidRPr="00C871C5">
              <w:rPr>
                <w:bCs/>
                <w:sz w:val="22"/>
                <w:szCs w:val="22"/>
              </w:rPr>
              <w:t>The Commission will consider a Report and Order that would allocate $950 million in fixed and mobile high-cost universal service support for Stage 2 of the Uniendo a Puerto Rico Fund and the Connect USVI Fund to expand, improve, and harden communications networks in Puerto Rico and the U.S. Virgin Islands.  The Commission will also consider an Order on Recons</w:t>
            </w:r>
            <w:bookmarkStart w:id="0" w:name="_GoBack"/>
            <w:bookmarkEnd w:id="0"/>
            <w:r w:rsidRPr="00C871C5">
              <w:rPr>
                <w:bCs/>
                <w:sz w:val="22"/>
                <w:szCs w:val="22"/>
              </w:rPr>
              <w:t xml:space="preserve">ideration that would dispose of two petitions related to Uniendo a Puerto Rico Fund and Connect USVI Fund advance support and Stage 1 support. </w:t>
            </w:r>
            <w:r>
              <w:rPr>
                <w:bCs/>
                <w:sz w:val="22"/>
                <w:szCs w:val="22"/>
              </w:rPr>
              <w:t xml:space="preserve"> </w:t>
            </w:r>
            <w:r w:rsidRPr="00C871C5">
              <w:rPr>
                <w:bCs/>
                <w:sz w:val="22"/>
                <w:szCs w:val="22"/>
              </w:rPr>
              <w:t>(WC Docket Nos. 18-143, 10-90, 14-58)</w:t>
            </w:r>
          </w:p>
          <w:p w:rsidR="00C871C5" w:rsidRPr="00694685" w:rsidP="00A41840">
            <w:pPr>
              <w:tabs>
                <w:tab w:val="left" w:pos="8640"/>
              </w:tabs>
              <w:rPr>
                <w:b/>
                <w:bCs/>
                <w:sz w:val="22"/>
                <w:szCs w:val="22"/>
                <w:highlight w:val="yellow"/>
              </w:rPr>
            </w:pPr>
          </w:p>
          <w:p w:rsidR="00A41840" w:rsidRPr="006C2893" w:rsidP="006C2893">
            <w:pPr>
              <w:tabs>
                <w:tab w:val="left" w:pos="8640"/>
              </w:tabs>
              <w:rPr>
                <w:b/>
                <w:bCs/>
                <w:sz w:val="22"/>
                <w:szCs w:val="22"/>
              </w:rPr>
            </w:pPr>
            <w:r w:rsidRPr="005021C4">
              <w:rPr>
                <w:b/>
                <w:bCs/>
                <w:sz w:val="22"/>
                <w:szCs w:val="22"/>
              </w:rPr>
              <w:t xml:space="preserve">Access Arbitrage – </w:t>
            </w:r>
            <w:r w:rsidRPr="005021C4">
              <w:rPr>
                <w:bCs/>
                <w:sz w:val="22"/>
                <w:szCs w:val="22"/>
              </w:rPr>
              <w:t>The Commission will consider a Report and Order and Modification of Section 214 Authorizations that would adopt reforms to eliminate wasteful access arbitrage schemes and promote the efficient use of the nation’s communications networks.  (WC Docket No. 18-155)</w:t>
            </w:r>
          </w:p>
          <w:p w:rsidR="002819BC" w:rsidP="00A41840">
            <w:pPr>
              <w:tabs>
                <w:tab w:val="left" w:pos="8640"/>
              </w:tabs>
              <w:rPr>
                <w:sz w:val="22"/>
                <w:szCs w:val="22"/>
              </w:rPr>
            </w:pPr>
          </w:p>
          <w:p w:rsidR="003C6558" w:rsidP="00A41840">
            <w:pPr>
              <w:tabs>
                <w:tab w:val="left" w:pos="8640"/>
              </w:tabs>
              <w:rPr>
                <w:sz w:val="22"/>
                <w:szCs w:val="22"/>
              </w:rPr>
            </w:pPr>
            <w:r w:rsidRPr="001770F0">
              <w:rPr>
                <w:b/>
                <w:sz w:val="22"/>
                <w:szCs w:val="22"/>
              </w:rPr>
              <w:t>3.5 GHz Auction Procedures</w:t>
            </w:r>
            <w:r w:rsidRPr="001770F0">
              <w:rPr>
                <w:sz w:val="22"/>
                <w:szCs w:val="22"/>
              </w:rPr>
              <w:t xml:space="preserve"> – The Commission will consider a Public Notice that would seek comment on procedures to be used for Auction 105, the auction of Priority Access Licenses (PALs) in the 3550-3650 MHz band. </w:t>
            </w:r>
            <w:r>
              <w:rPr>
                <w:sz w:val="22"/>
                <w:szCs w:val="22"/>
              </w:rPr>
              <w:t xml:space="preserve"> </w:t>
            </w:r>
            <w:r w:rsidRPr="001770F0">
              <w:rPr>
                <w:sz w:val="22"/>
                <w:szCs w:val="22"/>
              </w:rPr>
              <w:t xml:space="preserve">(AU Docket 19-244) </w:t>
            </w:r>
          </w:p>
          <w:p w:rsidR="001770F0" w:rsidP="00A41840">
            <w:pPr>
              <w:tabs>
                <w:tab w:val="left" w:pos="8640"/>
              </w:tabs>
              <w:rPr>
                <w:sz w:val="22"/>
                <w:szCs w:val="22"/>
              </w:rPr>
            </w:pPr>
          </w:p>
          <w:p w:rsidR="003C6558" w:rsidP="003C6558">
            <w:pPr>
              <w:tabs>
                <w:tab w:val="left" w:pos="8640"/>
              </w:tabs>
              <w:rPr>
                <w:sz w:val="22"/>
                <w:szCs w:val="22"/>
              </w:rPr>
            </w:pPr>
            <w:bookmarkStart w:id="1" w:name="_Hlk18571782"/>
            <w:r w:rsidRPr="00A927A1">
              <w:rPr>
                <w:b/>
                <w:sz w:val="22"/>
                <w:szCs w:val="22"/>
              </w:rPr>
              <w:t xml:space="preserve">Public Notice of the Filing of Broadcast Applications Rules </w:t>
            </w:r>
            <w:r>
              <w:rPr>
                <w:sz w:val="22"/>
                <w:szCs w:val="22"/>
              </w:rPr>
              <w:t xml:space="preserve">– </w:t>
            </w:r>
            <w:r w:rsidRPr="003C6558">
              <w:rPr>
                <w:sz w:val="22"/>
                <w:szCs w:val="22"/>
              </w:rPr>
              <w:t xml:space="preserve">The Commission will consider a Further Notice of Proposed Rulemaking that </w:t>
            </w:r>
            <w:r w:rsidR="00423734">
              <w:rPr>
                <w:sz w:val="22"/>
                <w:szCs w:val="22"/>
              </w:rPr>
              <w:t>would propose</w:t>
            </w:r>
            <w:r w:rsidRPr="003C6558" w:rsidR="00423734">
              <w:rPr>
                <w:sz w:val="22"/>
                <w:szCs w:val="22"/>
              </w:rPr>
              <w:t xml:space="preserve"> </w:t>
            </w:r>
            <w:r w:rsidRPr="003C6558">
              <w:rPr>
                <w:sz w:val="22"/>
                <w:szCs w:val="22"/>
              </w:rPr>
              <w:t>to modernize and simpl</w:t>
            </w:r>
            <w:r w:rsidR="00F03DBD">
              <w:rPr>
                <w:sz w:val="22"/>
                <w:szCs w:val="22"/>
              </w:rPr>
              <w:t>ify</w:t>
            </w:r>
            <w:r w:rsidRPr="003C6558">
              <w:rPr>
                <w:sz w:val="22"/>
                <w:szCs w:val="22"/>
              </w:rPr>
              <w:t xml:space="preserve"> the written and on-air public notices broadcasters must provide upon the filing of certain applications.</w:t>
            </w:r>
            <w:r>
              <w:rPr>
                <w:sz w:val="22"/>
                <w:szCs w:val="22"/>
              </w:rPr>
              <w:t xml:space="preserve">  </w:t>
            </w:r>
            <w:r w:rsidRPr="003C6558">
              <w:rPr>
                <w:sz w:val="22"/>
                <w:szCs w:val="22"/>
              </w:rPr>
              <w:t>(MB Docket No</w:t>
            </w:r>
            <w:r>
              <w:rPr>
                <w:sz w:val="22"/>
                <w:szCs w:val="22"/>
              </w:rPr>
              <w:t>s</w:t>
            </w:r>
            <w:r w:rsidRPr="003C6558">
              <w:rPr>
                <w:sz w:val="22"/>
                <w:szCs w:val="22"/>
              </w:rPr>
              <w:t>. 17-264</w:t>
            </w:r>
            <w:r>
              <w:rPr>
                <w:sz w:val="22"/>
                <w:szCs w:val="22"/>
              </w:rPr>
              <w:t xml:space="preserve">, </w:t>
            </w:r>
            <w:r w:rsidRPr="003C6558">
              <w:rPr>
                <w:sz w:val="22"/>
                <w:szCs w:val="22"/>
              </w:rPr>
              <w:t>17-105</w:t>
            </w:r>
            <w:r>
              <w:rPr>
                <w:sz w:val="22"/>
                <w:szCs w:val="22"/>
              </w:rPr>
              <w:t>, 05-6</w:t>
            </w:r>
            <w:r w:rsidRPr="003C6558">
              <w:rPr>
                <w:sz w:val="22"/>
                <w:szCs w:val="22"/>
              </w:rPr>
              <w:t>)</w:t>
            </w:r>
          </w:p>
          <w:bookmarkEnd w:id="1"/>
          <w:p w:rsidR="003C6558" w:rsidP="00A41840">
            <w:pPr>
              <w:tabs>
                <w:tab w:val="left" w:pos="8640"/>
              </w:tabs>
              <w:rPr>
                <w:sz w:val="22"/>
                <w:szCs w:val="22"/>
              </w:rPr>
            </w:pPr>
          </w:p>
          <w:p w:rsidR="003C6558" w:rsidP="00A41840">
            <w:pPr>
              <w:tabs>
                <w:tab w:val="left" w:pos="8640"/>
              </w:tabs>
              <w:rPr>
                <w:sz w:val="22"/>
                <w:szCs w:val="22"/>
              </w:rPr>
            </w:pPr>
            <w:r w:rsidRPr="007C5D54">
              <w:rPr>
                <w:b/>
                <w:sz w:val="22"/>
                <w:szCs w:val="22"/>
              </w:rPr>
              <w:t>Updating and Streamlining Rules for the Direct Broadcast Satellite Service</w:t>
            </w:r>
            <w:r w:rsidRPr="007C5D54">
              <w:rPr>
                <w:sz w:val="22"/>
                <w:szCs w:val="22"/>
              </w:rPr>
              <w:t xml:space="preserve"> – The Commission will consider a Report and Order </w:t>
            </w:r>
            <w:r w:rsidR="00423734">
              <w:rPr>
                <w:sz w:val="22"/>
                <w:szCs w:val="22"/>
              </w:rPr>
              <w:t xml:space="preserve">that would </w:t>
            </w:r>
            <w:r w:rsidRPr="007C5D54">
              <w:rPr>
                <w:sz w:val="22"/>
                <w:szCs w:val="22"/>
              </w:rPr>
              <w:t xml:space="preserve">align the </w:t>
            </w:r>
            <w:r w:rsidRPr="00C41C41" w:rsidR="00C41C41">
              <w:rPr>
                <w:sz w:val="22"/>
                <w:szCs w:val="22"/>
              </w:rPr>
              <w:t xml:space="preserve">Direct Broadcast Satellite </w:t>
            </w:r>
            <w:r w:rsidRPr="007C5D54">
              <w:rPr>
                <w:sz w:val="22"/>
                <w:szCs w:val="22"/>
              </w:rPr>
              <w:t xml:space="preserve">licensing procedures with those of the geostationary orbit fixed-satellite service satellites.  (IB Docket No. 06-160) </w:t>
            </w:r>
          </w:p>
          <w:p w:rsidR="007C5D54"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w:t>
            </w:r>
            <w:r w:rsidRPr="00D569AA">
              <w:rPr>
                <w:bCs/>
                <w:sz w:val="22"/>
                <w:szCs w:val="22"/>
              </w:rPr>
              <w:t xml:space="preserve">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F4"/>
    <w:rsid w:val="0002500C"/>
    <w:rsid w:val="000311FC"/>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2776"/>
    <w:rsid w:val="00153222"/>
    <w:rsid w:val="001577D3"/>
    <w:rsid w:val="001733A6"/>
    <w:rsid w:val="001770F0"/>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06B6D"/>
    <w:rsid w:val="0031773E"/>
    <w:rsid w:val="00323539"/>
    <w:rsid w:val="00347716"/>
    <w:rsid w:val="003506E1"/>
    <w:rsid w:val="00385A93"/>
    <w:rsid w:val="003910F1"/>
    <w:rsid w:val="003C6558"/>
    <w:rsid w:val="003E42FC"/>
    <w:rsid w:val="003E5991"/>
    <w:rsid w:val="003F344A"/>
    <w:rsid w:val="00403A57"/>
    <w:rsid w:val="00403FF0"/>
    <w:rsid w:val="0042046D"/>
    <w:rsid w:val="00423734"/>
    <w:rsid w:val="00425AEF"/>
    <w:rsid w:val="00426518"/>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1C4"/>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E7968"/>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C5D54"/>
    <w:rsid w:val="007D21BF"/>
    <w:rsid w:val="007F3C12"/>
    <w:rsid w:val="007F5205"/>
    <w:rsid w:val="0080486B"/>
    <w:rsid w:val="008215E7"/>
    <w:rsid w:val="00830FC6"/>
    <w:rsid w:val="008350F4"/>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27A1"/>
    <w:rsid w:val="00A9673A"/>
    <w:rsid w:val="00A96EF2"/>
    <w:rsid w:val="00AA3AB9"/>
    <w:rsid w:val="00AA5C35"/>
    <w:rsid w:val="00AA5ED9"/>
    <w:rsid w:val="00AC4E0E"/>
    <w:rsid w:val="00AC517B"/>
    <w:rsid w:val="00AE4A3A"/>
    <w:rsid w:val="00AF051B"/>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1C41"/>
    <w:rsid w:val="00C432E4"/>
    <w:rsid w:val="00C70C26"/>
    <w:rsid w:val="00C72001"/>
    <w:rsid w:val="00C772B7"/>
    <w:rsid w:val="00C80347"/>
    <w:rsid w:val="00C871C5"/>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1773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03DBD"/>
    <w:rsid w:val="00F1238F"/>
    <w:rsid w:val="00F16485"/>
    <w:rsid w:val="00F228ED"/>
    <w:rsid w:val="00F26E31"/>
    <w:rsid w:val="00F27C6C"/>
    <w:rsid w:val="00F34A8D"/>
    <w:rsid w:val="00F50D25"/>
    <w:rsid w:val="00F535D8"/>
    <w:rsid w:val="00F61155"/>
    <w:rsid w:val="00F708E3"/>
    <w:rsid w:val="00F76561"/>
    <w:rsid w:val="00F84736"/>
    <w:rsid w:val="00F87323"/>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F4B4080-FE64-4EE3-B6EF-270855B6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8350F4"/>
    <w:rPr>
      <w:rFonts w:ascii="Segoe UI" w:hAnsi="Segoe UI" w:cs="Segoe UI"/>
      <w:sz w:val="18"/>
      <w:szCs w:val="18"/>
    </w:rPr>
  </w:style>
  <w:style w:type="character" w:customStyle="1" w:styleId="BalloonTextChar">
    <w:name w:val="Balloon Text Char"/>
    <w:basedOn w:val="DefaultParagraphFont"/>
    <w:link w:val="BalloonText"/>
    <w:semiHidden/>
    <w:rsid w:val="0083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