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2BF1" w14:paraId="4C44C116" w14:textId="77777777">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WHAT YOU OWE – COMMERCIAL WIRELESS SERVICES FOR FY 201</w:t>
      </w:r>
      <w:r w:rsidR="00E200C2">
        <w:rPr>
          <w:rFonts w:ascii="Times New Roman" w:hAnsi="Times New Roman"/>
          <w:b/>
          <w:spacing w:val="-2"/>
          <w:sz w:val="24"/>
          <w:szCs w:val="24"/>
        </w:rPr>
        <w:t>9</w:t>
      </w:r>
      <w:bookmarkStart w:id="0" w:name="_GoBack"/>
      <w:bookmarkEnd w:id="0"/>
    </w:p>
    <w:p w:rsidR="002E2BF1" w14:paraId="04B041DC" w14:textId="77777777">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14:paraId="78DB58BB" w14:textId="77777777">
      <w:pPr>
        <w:tabs>
          <w:tab w:val="left" w:pos="-720"/>
        </w:tabs>
        <w:suppressAutoHyphens/>
        <w:rPr>
          <w:rFonts w:ascii="Times New Roman" w:hAnsi="Times New Roman"/>
          <w:spacing w:val="-3"/>
          <w:sz w:val="24"/>
          <w:szCs w:val="24"/>
        </w:rPr>
      </w:pPr>
    </w:p>
    <w:p w:rsidR="002E2BF1" w:rsidRPr="001F6CA3" w:rsidP="002E2BF1" w14:paraId="11E7E689" w14:textId="1CA75DA0">
      <w:pPr>
        <w:shd w:val="clear" w:color="auto" w:fill="FFFFFF"/>
        <w:rPr>
          <w:rFonts w:ascii="Times New Roman" w:hAnsi="Times New Roman"/>
          <w:i/>
          <w:iCs/>
          <w:sz w:val="22"/>
          <w:szCs w:val="22"/>
          <w:u w:val="single"/>
        </w:rPr>
      </w:pPr>
      <w:r w:rsidRPr="001F6CA3">
        <w:rPr>
          <w:rFonts w:ascii="Times New Roman" w:hAnsi="Times New Roman"/>
          <w:sz w:val="22"/>
          <w:szCs w:val="22"/>
        </w:rPr>
        <w:t>Each year, the Commission is required to collect regulatory f</w:t>
      </w:r>
      <w:r w:rsidRPr="001F6CA3">
        <w:rPr>
          <w:rFonts w:ascii="Times New Roman" w:hAnsi="Times New Roman"/>
          <w:snapToGrid w:val="0"/>
          <w:sz w:val="22"/>
          <w:szCs w:val="22"/>
        </w:rPr>
        <w:t xml:space="preserve">ees.  Licensees </w:t>
      </w:r>
      <w:r w:rsidRPr="001F6CA3">
        <w:rPr>
          <w:rFonts w:ascii="Times New Roman" w:hAnsi="Times New Roman"/>
          <w:sz w:val="22"/>
          <w:szCs w:val="22"/>
        </w:rPr>
        <w:t xml:space="preserve">and </w:t>
      </w:r>
      <w:r w:rsidRPr="001F6CA3">
        <w:rPr>
          <w:rFonts w:ascii="Times New Roman" w:hAnsi="Times New Roman"/>
          <w:sz w:val="22"/>
          <w:szCs w:val="22"/>
        </w:rPr>
        <w:t>regulatees</w:t>
      </w:r>
      <w:r w:rsidRPr="001F6CA3">
        <w:rPr>
          <w:rFonts w:ascii="Times New Roman" w:hAnsi="Times New Roman"/>
          <w:sz w:val="22"/>
          <w:szCs w:val="22"/>
        </w:rPr>
        <w:t xml:space="preserve"> are assessed fees as set forth in </w:t>
      </w:r>
      <w:r w:rsidRPr="001F6CA3">
        <w:rPr>
          <w:rFonts w:ascii="Times New Roman" w:hAnsi="Times New Roman"/>
          <w:i/>
          <w:sz w:val="22"/>
          <w:szCs w:val="22"/>
        </w:rPr>
        <w:t>Assessment and Collection of Regulatory Fees for Fiscal Year 201</w:t>
      </w:r>
      <w:r w:rsidR="00E200C2">
        <w:rPr>
          <w:rFonts w:ascii="Times New Roman" w:hAnsi="Times New Roman"/>
          <w:i/>
          <w:sz w:val="22"/>
          <w:szCs w:val="22"/>
        </w:rPr>
        <w:t>9</w:t>
      </w:r>
      <w:r w:rsidRPr="001F6CA3">
        <w:rPr>
          <w:rFonts w:ascii="Times New Roman" w:hAnsi="Times New Roman"/>
          <w:i/>
          <w:sz w:val="22"/>
          <w:szCs w:val="22"/>
        </w:rPr>
        <w:t>,</w:t>
      </w:r>
      <w:r w:rsidRPr="001F6CA3">
        <w:rPr>
          <w:rFonts w:ascii="Times New Roman" w:hAnsi="Times New Roman"/>
          <w:sz w:val="22"/>
          <w:szCs w:val="22"/>
        </w:rPr>
        <w:t xml:space="preserve"> </w:t>
      </w:r>
      <w:r w:rsidRPr="001F6CA3">
        <w:rPr>
          <w:rFonts w:ascii="Times New Roman" w:hAnsi="Times New Roman"/>
          <w:i/>
          <w:sz w:val="22"/>
          <w:szCs w:val="22"/>
        </w:rPr>
        <w:t>Report and Order</w:t>
      </w:r>
      <w:r w:rsidR="000C59E9">
        <w:rPr>
          <w:rFonts w:ascii="Times New Roman" w:hAnsi="Times New Roman"/>
          <w:i/>
          <w:sz w:val="22"/>
          <w:szCs w:val="22"/>
        </w:rPr>
        <w:t xml:space="preserve"> </w:t>
      </w:r>
      <w:r w:rsidR="00E200C2">
        <w:rPr>
          <w:rFonts w:ascii="Times New Roman" w:hAnsi="Times New Roman"/>
          <w:i/>
          <w:sz w:val="22"/>
          <w:szCs w:val="22"/>
        </w:rPr>
        <w:t xml:space="preserve">and Further Notice of Proposed Rulemaking </w:t>
      </w:r>
      <w:r w:rsidR="00D907F6">
        <w:rPr>
          <w:rFonts w:ascii="Times New Roman" w:hAnsi="Times New Roman"/>
          <w:sz w:val="22"/>
          <w:szCs w:val="22"/>
        </w:rPr>
        <w:t>(</w:t>
      </w:r>
      <w:r>
        <w:rPr>
          <w:rFonts w:ascii="Times New Roman" w:hAnsi="Times New Roman"/>
          <w:sz w:val="22"/>
          <w:szCs w:val="22"/>
        </w:rPr>
        <w:t xml:space="preserve">released </w:t>
      </w:r>
      <w:r w:rsidR="00D907F6">
        <w:rPr>
          <w:rFonts w:ascii="Times New Roman" w:hAnsi="Times New Roman"/>
          <w:sz w:val="22"/>
          <w:szCs w:val="22"/>
        </w:rPr>
        <w:t>August</w:t>
      </w:r>
      <w:r w:rsidR="00BF7DEE">
        <w:rPr>
          <w:rFonts w:ascii="Times New Roman" w:hAnsi="Times New Roman"/>
          <w:sz w:val="22"/>
          <w:szCs w:val="22"/>
        </w:rPr>
        <w:t xml:space="preserve"> </w:t>
      </w:r>
      <w:r w:rsidR="00C33A1F">
        <w:rPr>
          <w:rFonts w:ascii="Times New Roman" w:hAnsi="Times New Roman"/>
          <w:sz w:val="22"/>
          <w:szCs w:val="22"/>
        </w:rPr>
        <w:t>27</w:t>
      </w:r>
      <w:r w:rsidRPr="001F6CA3">
        <w:rPr>
          <w:rFonts w:ascii="Times New Roman" w:hAnsi="Times New Roman"/>
          <w:sz w:val="22"/>
          <w:szCs w:val="22"/>
        </w:rPr>
        <w:t>, 201</w:t>
      </w:r>
      <w:r w:rsidR="00E200C2">
        <w:rPr>
          <w:rFonts w:ascii="Times New Roman" w:hAnsi="Times New Roman"/>
          <w:sz w:val="22"/>
          <w:szCs w:val="22"/>
        </w:rPr>
        <w:t>9</w:t>
      </w:r>
      <w:r w:rsidRPr="001F6CA3">
        <w:rPr>
          <w:rFonts w:ascii="Times New Roman" w:hAnsi="Times New Roman"/>
          <w:sz w:val="22"/>
          <w:szCs w:val="22"/>
        </w:rPr>
        <w:t xml:space="preserve">) </w:t>
      </w:r>
      <w:r w:rsidRPr="001F6CA3">
        <w:rPr>
          <w:rFonts w:ascii="Times New Roman" w:hAnsi="Times New Roman"/>
          <w:i/>
          <w:sz w:val="22"/>
          <w:szCs w:val="22"/>
        </w:rPr>
        <w:t>(“</w:t>
      </w:r>
      <w:r w:rsidRPr="001F6CA3">
        <w:rPr>
          <w:rFonts w:ascii="Times New Roman" w:hAnsi="Times New Roman"/>
          <w:sz w:val="22"/>
          <w:szCs w:val="22"/>
        </w:rPr>
        <w:t>FY 201</w:t>
      </w:r>
      <w:r w:rsidR="00E200C2">
        <w:rPr>
          <w:rFonts w:ascii="Times New Roman" w:hAnsi="Times New Roman"/>
          <w:sz w:val="22"/>
          <w:szCs w:val="22"/>
        </w:rPr>
        <w:t>9</w:t>
      </w:r>
      <w:r w:rsidRPr="001F6CA3">
        <w:rPr>
          <w:rFonts w:ascii="Times New Roman" w:hAnsi="Times New Roman"/>
          <w:sz w:val="22"/>
          <w:szCs w:val="22"/>
        </w:rPr>
        <w:t xml:space="preserve"> Regulatory Fees</w:t>
      </w:r>
      <w:r w:rsidRPr="001F6CA3">
        <w:rPr>
          <w:rFonts w:ascii="Times New Roman" w:hAnsi="Times New Roman"/>
          <w:i/>
          <w:sz w:val="22"/>
          <w:szCs w:val="22"/>
        </w:rPr>
        <w:t>, Report”</w:t>
      </w:r>
      <w:r w:rsidRPr="001F6CA3">
        <w:rPr>
          <w:rFonts w:ascii="Times New Roman" w:hAnsi="Times New Roman"/>
          <w:sz w:val="22"/>
          <w:szCs w:val="22"/>
        </w:rPr>
        <w:t xml:space="preserve">).  The Commission also publishes industry-specific guidance in </w:t>
      </w:r>
      <w:r w:rsidRPr="001F6CA3">
        <w:rPr>
          <w:rFonts w:ascii="Times New Roman" w:hAnsi="Times New Roman"/>
          <w:i/>
          <w:iCs/>
          <w:sz w:val="22"/>
          <w:szCs w:val="22"/>
        </w:rPr>
        <w:t>Who Owes Fees &amp; What Is My FY 201</w:t>
      </w:r>
      <w:r w:rsidR="00E200C2">
        <w:rPr>
          <w:rFonts w:ascii="Times New Roman" w:hAnsi="Times New Roman"/>
          <w:i/>
          <w:iCs/>
          <w:sz w:val="22"/>
          <w:szCs w:val="22"/>
        </w:rPr>
        <w:t>9</w:t>
      </w:r>
      <w:r w:rsidRPr="001F6CA3">
        <w:rPr>
          <w:rFonts w:ascii="Times New Roman" w:hAnsi="Times New Roman"/>
          <w:i/>
          <w:iCs/>
          <w:sz w:val="22"/>
          <w:szCs w:val="22"/>
        </w:rPr>
        <w:t xml:space="preserve"> Fee, </w:t>
      </w:r>
      <w:r w:rsidRPr="001F6CA3">
        <w:rPr>
          <w:rFonts w:ascii="Times New Roman" w:hAnsi="Times New Roman"/>
          <w:sz w:val="22"/>
          <w:szCs w:val="22"/>
        </w:rPr>
        <w:t xml:space="preserve">which can be found on the Commission website at </w:t>
      </w:r>
      <w:hyperlink r:id="rId5" w:history="1">
        <w:r w:rsidRPr="001F6CA3">
          <w:rPr>
            <w:rStyle w:val="Hyperlink"/>
            <w:rFonts w:ascii="Times New Roman" w:hAnsi="Times New Roman"/>
            <w:sz w:val="22"/>
            <w:szCs w:val="22"/>
          </w:rPr>
          <w:t>http://www.fcc.gov/regfees</w:t>
        </w:r>
      </w:hyperlink>
      <w:r w:rsidRPr="001F6CA3">
        <w:rPr>
          <w:rFonts w:ascii="Times New Roman" w:hAnsi="Times New Roman"/>
          <w:i/>
          <w:iCs/>
          <w:sz w:val="22"/>
          <w:szCs w:val="22"/>
          <w:u w:val="single"/>
        </w:rPr>
        <w:t>.</w:t>
      </w:r>
    </w:p>
    <w:p w:rsidR="002E2BF1" w:rsidRPr="001F6CA3" w:rsidP="002E2BF1" w14:paraId="0883DF21" w14:textId="77777777">
      <w:pPr>
        <w:shd w:val="clear" w:color="auto" w:fill="FFFFFF"/>
        <w:rPr>
          <w:rFonts w:ascii="Times New Roman" w:hAnsi="Times New Roman"/>
          <w:sz w:val="22"/>
          <w:szCs w:val="22"/>
        </w:rPr>
      </w:pPr>
    </w:p>
    <w:p w:rsidR="002E2BF1" w:rsidRPr="001F6CA3" w:rsidP="002E2BF1" w14:paraId="4613A1CC" w14:textId="77777777">
      <w:pPr>
        <w:shd w:val="clear" w:color="auto" w:fill="FFFFFF"/>
        <w:rPr>
          <w:rFonts w:ascii="Times New Roman" w:hAnsi="Times New Roman"/>
          <w:sz w:val="22"/>
          <w:szCs w:val="22"/>
        </w:rPr>
      </w:pPr>
      <w:r w:rsidRPr="001F6CA3">
        <w:rPr>
          <w:rFonts w:ascii="Times New Roman" w:hAnsi="Times New Roman"/>
          <w:sz w:val="22"/>
          <w:szCs w:val="22"/>
        </w:rPr>
        <w:t xml:space="preserve">The Commission’s automated filing and payment system (“Fee Filer”) is available for </w:t>
      </w:r>
      <w:r w:rsidRPr="001F6CA3">
        <w:rPr>
          <w:rFonts w:ascii="Times New Roman" w:hAnsi="Times New Roman"/>
          <w:sz w:val="22"/>
          <w:szCs w:val="22"/>
          <w:u w:val="single"/>
        </w:rPr>
        <w:t>filing</w:t>
      </w:r>
      <w:r w:rsidRPr="001F6CA3">
        <w:rPr>
          <w:rFonts w:ascii="Times New Roman" w:hAnsi="Times New Roman"/>
          <w:sz w:val="22"/>
          <w:szCs w:val="22"/>
        </w:rPr>
        <w:t xml:space="preserve"> and </w:t>
      </w:r>
      <w:r w:rsidRPr="001F6CA3">
        <w:rPr>
          <w:rFonts w:ascii="Times New Roman" w:hAnsi="Times New Roman"/>
          <w:sz w:val="22"/>
          <w:szCs w:val="22"/>
          <w:u w:val="single"/>
        </w:rPr>
        <w:t>viewing</w:t>
      </w:r>
      <w:r w:rsidRPr="001F6CA3">
        <w:rPr>
          <w:rFonts w:ascii="Times New Roman" w:hAnsi="Times New Roman"/>
          <w:sz w:val="22"/>
          <w:szCs w:val="22"/>
        </w:rPr>
        <w:t xml:space="preserve"> of FY 201</w:t>
      </w:r>
      <w:r w:rsidR="00E200C2">
        <w:rPr>
          <w:rFonts w:ascii="Times New Roman" w:hAnsi="Times New Roman"/>
          <w:sz w:val="22"/>
          <w:szCs w:val="22"/>
        </w:rPr>
        <w:t>9</w:t>
      </w:r>
      <w:r w:rsidRPr="001F6CA3">
        <w:rPr>
          <w:rFonts w:ascii="Times New Roman" w:hAnsi="Times New Roman"/>
          <w:sz w:val="22"/>
          <w:szCs w:val="22"/>
        </w:rPr>
        <w:t xml:space="preserve"> regulatory fees.  While FY 201</w:t>
      </w:r>
      <w:r w:rsidR="00E200C2">
        <w:rPr>
          <w:rFonts w:ascii="Times New Roman" w:hAnsi="Times New Roman"/>
          <w:sz w:val="22"/>
          <w:szCs w:val="22"/>
        </w:rPr>
        <w:t>9</w:t>
      </w:r>
      <w:r w:rsidRPr="001F6CA3">
        <w:rPr>
          <w:rFonts w:ascii="Times New Roman" w:hAnsi="Times New Roman"/>
          <w:sz w:val="22"/>
          <w:szCs w:val="22"/>
        </w:rPr>
        <w:t xml:space="preserve"> regulatory fees will not become effective until the rulemaking is published in the Federal Register, </w:t>
      </w:r>
      <w:r w:rsidRPr="001F6CA3">
        <w:rPr>
          <w:rFonts w:ascii="Times New Roman" w:hAnsi="Times New Roman"/>
          <w:sz w:val="22"/>
          <w:szCs w:val="22"/>
        </w:rPr>
        <w:t>regulatees</w:t>
      </w:r>
      <w:r w:rsidRPr="001F6CA3">
        <w:rPr>
          <w:rFonts w:ascii="Times New Roman" w:hAnsi="Times New Roman"/>
          <w:sz w:val="22"/>
          <w:szCs w:val="22"/>
        </w:rPr>
        <w:t xml:space="preserve"> at their own discretion, may submit payments at any time before the effective due date of FY 201</w:t>
      </w:r>
      <w:r w:rsidR="00E200C2">
        <w:rPr>
          <w:rFonts w:ascii="Times New Roman" w:hAnsi="Times New Roman"/>
          <w:sz w:val="22"/>
          <w:szCs w:val="22"/>
        </w:rPr>
        <w:t>9</w:t>
      </w:r>
      <w:r w:rsidRPr="001F6CA3">
        <w:rPr>
          <w:rFonts w:ascii="Times New Roman" w:hAnsi="Times New Roman"/>
          <w:sz w:val="22"/>
          <w:szCs w:val="22"/>
        </w:rPr>
        <w:t xml:space="preserve"> regulatory fees.  </w:t>
      </w:r>
      <w:r w:rsidRPr="001F6CA3">
        <w:rPr>
          <w:rFonts w:ascii="Times New Roman" w:hAnsi="Times New Roman"/>
          <w:b/>
          <w:sz w:val="22"/>
          <w:szCs w:val="22"/>
        </w:rPr>
        <w:t xml:space="preserve">Regulatory fee payments </w:t>
      </w:r>
      <w:r w:rsidR="0023505F">
        <w:rPr>
          <w:rFonts w:ascii="Times New Roman" w:hAnsi="Times New Roman"/>
          <w:b/>
          <w:sz w:val="22"/>
          <w:szCs w:val="22"/>
        </w:rPr>
        <w:t xml:space="preserve">MUST BE </w:t>
      </w:r>
      <w:r w:rsidRPr="001F6CA3">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F6CA3">
        <w:rPr>
          <w:rFonts w:ascii="Times New Roman" w:hAnsi="Times New Roman"/>
          <w:b/>
          <w:sz w:val="22"/>
          <w:szCs w:val="22"/>
        </w:rPr>
        <w:t xml:space="preserve"> by the Commission no later than 11:59 PM, Eastern Daylight Time, on September </w:t>
      </w:r>
      <w:r w:rsidR="00D907F6">
        <w:rPr>
          <w:rFonts w:ascii="Times New Roman" w:hAnsi="Times New Roman"/>
          <w:b/>
          <w:sz w:val="22"/>
          <w:szCs w:val="22"/>
        </w:rPr>
        <w:t>2</w:t>
      </w:r>
      <w:r w:rsidR="00E200C2">
        <w:rPr>
          <w:rFonts w:ascii="Times New Roman" w:hAnsi="Times New Roman"/>
          <w:b/>
          <w:sz w:val="22"/>
          <w:szCs w:val="22"/>
        </w:rPr>
        <w:t>4</w:t>
      </w:r>
      <w:r w:rsidRPr="001F6CA3">
        <w:rPr>
          <w:rFonts w:ascii="Times New Roman" w:hAnsi="Times New Roman"/>
          <w:b/>
          <w:sz w:val="22"/>
          <w:szCs w:val="22"/>
        </w:rPr>
        <w:t>, 201</w:t>
      </w:r>
      <w:r w:rsidR="00E200C2">
        <w:rPr>
          <w:rFonts w:ascii="Times New Roman" w:hAnsi="Times New Roman"/>
          <w:b/>
          <w:sz w:val="22"/>
          <w:szCs w:val="22"/>
        </w:rPr>
        <w:t>9</w:t>
      </w:r>
      <w:r w:rsidRPr="001F6CA3">
        <w:rPr>
          <w:rFonts w:ascii="Times New Roman" w:hAnsi="Times New Roman"/>
          <w:b/>
          <w:sz w:val="22"/>
          <w:szCs w:val="22"/>
        </w:rPr>
        <w:t>.</w:t>
      </w:r>
      <w:r w:rsidRPr="001F6CA3">
        <w:rPr>
          <w:rFonts w:ascii="Times New Roman" w:hAnsi="Times New Roman"/>
          <w:sz w:val="22"/>
          <w:szCs w:val="22"/>
        </w:rPr>
        <w:t xml:space="preserve">  </w:t>
      </w:r>
    </w:p>
    <w:p w:rsidR="002E2BF1" w:rsidRPr="001F6CA3" w:rsidP="002E2BF1" w14:paraId="7A32DA69" w14:textId="77777777">
      <w:pPr>
        <w:shd w:val="clear" w:color="auto" w:fill="FFFFFF"/>
        <w:rPr>
          <w:rFonts w:ascii="Times New Roman" w:hAnsi="Times New Roman"/>
          <w:sz w:val="22"/>
          <w:szCs w:val="22"/>
        </w:rPr>
      </w:pPr>
    </w:p>
    <w:p w:rsidR="002E2BF1" w:rsidRPr="001F6CA3" w14:paraId="0BF1DD0B" w14:textId="77777777">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1F6CA3">
        <w:rPr>
          <w:rFonts w:ascii="Times New Roman" w:hAnsi="Times New Roman"/>
          <w:i/>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14:paraId="58B99BE1" w14:textId="77777777">
      <w:pPr>
        <w:widowControl/>
        <w:autoSpaceDE w:val="0"/>
        <w:autoSpaceDN w:val="0"/>
        <w:adjustRightInd w:val="0"/>
        <w:rPr>
          <w:rFonts w:ascii="Times New Roman" w:hAnsi="Times New Roman"/>
          <w:spacing w:val="-3"/>
          <w:sz w:val="22"/>
          <w:szCs w:val="22"/>
        </w:rPr>
      </w:pPr>
    </w:p>
    <w:p w:rsidR="002E2BF1" w14:paraId="639DD902" w14:textId="77777777">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include: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14:paraId="399B0C80" w14:textId="77777777">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14:paraId="0C3B5E20" w14:textId="77777777">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14:paraId="5C969A03"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14:paraId="189F3B43" w14:textId="77777777">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201</w:t>
      </w:r>
      <w:r w:rsidR="00424B57">
        <w:rPr>
          <w:rFonts w:ascii="Times New Roman" w:hAnsi="Times New Roman"/>
          <w:b/>
          <w:bCs/>
          <w:sz w:val="22"/>
          <w:szCs w:val="22"/>
        </w:rPr>
        <w:t>8</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424B57">
        <w:rPr>
          <w:rFonts w:ascii="Times New Roman" w:hAnsi="Times New Roman"/>
          <w:sz w:val="22"/>
          <w:szCs w:val="22"/>
          <w:u w:val="single"/>
        </w:rPr>
        <w:t>8</w:t>
      </w:r>
      <w:r w:rsidRPr="001F6CA3">
        <w:rPr>
          <w:rFonts w:ascii="Times New Roman" w:hAnsi="Times New Roman"/>
          <w:sz w:val="22"/>
          <w:szCs w:val="22"/>
        </w:rPr>
        <w:t>.  In instances where a license or authorization is transferred or assigned after October 1, 201</w:t>
      </w:r>
      <w:r w:rsidR="00424B57">
        <w:rPr>
          <w:rFonts w:ascii="Times New Roman" w:hAnsi="Times New Roman"/>
          <w:sz w:val="22"/>
          <w:szCs w:val="22"/>
        </w:rPr>
        <w:t>8</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14:paraId="2FB12879" w14:textId="77777777">
      <w:pPr>
        <w:widowControl/>
        <w:autoSpaceDE w:val="0"/>
        <w:autoSpaceDN w:val="0"/>
        <w:adjustRightInd w:val="0"/>
        <w:rPr>
          <w:rFonts w:ascii="Times New Roman" w:hAnsi="Times New Roman"/>
          <w:spacing w:val="-2"/>
          <w:sz w:val="22"/>
          <w:szCs w:val="22"/>
        </w:rPr>
      </w:pPr>
    </w:p>
    <w:p w:rsidR="002E2BF1" w:rsidRPr="001F6CA3" w14:paraId="3A6A6719" w14:textId="77777777">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 xml:space="preserve">counts, as stated in the table below.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FCC, the</w:t>
      </w:r>
      <w:r w:rsidR="00263F1E">
        <w:rPr>
          <w:rFonts w:ascii="Times New Roman" w:hAnsi="Times New Roman"/>
          <w:sz w:val="22"/>
          <w:szCs w:val="22"/>
        </w:rPr>
        <w:t xml:space="preserve">y should appear in Fee Filer as the CMRS count to </w:t>
      </w:r>
      <w:r w:rsidR="00263F1E">
        <w:rPr>
          <w:rFonts w:ascii="Times New Roman" w:hAnsi="Times New Roman"/>
          <w:sz w:val="22"/>
          <w:szCs w:val="22"/>
        </w:rPr>
        <w:t xml:space="preserve">be used for the payment of </w:t>
      </w:r>
      <w:r w:rsidR="00740480">
        <w:rPr>
          <w:rFonts w:ascii="Times New Roman" w:hAnsi="Times New Roman"/>
          <w:sz w:val="22"/>
          <w:szCs w:val="22"/>
        </w:rPr>
        <w:t>FY 201</w:t>
      </w:r>
      <w:r w:rsidR="00424B57">
        <w:rPr>
          <w:rFonts w:ascii="Times New Roman" w:hAnsi="Times New Roman"/>
          <w:sz w:val="22"/>
          <w:szCs w:val="22"/>
        </w:rPr>
        <w:t>9</w:t>
      </w:r>
      <w:r w:rsidR="00740480">
        <w:rPr>
          <w:rFonts w:ascii="Times New Roman" w:hAnsi="Times New Roman"/>
          <w:sz w:val="22"/>
          <w:szCs w:val="22"/>
        </w:rPr>
        <w:t xml:space="preserve"> </w:t>
      </w:r>
      <w:r w:rsidR="00263F1E">
        <w:rPr>
          <w:rFonts w:ascii="Times New Roman" w:hAnsi="Times New Roman"/>
          <w:sz w:val="22"/>
          <w:szCs w:val="22"/>
        </w:rPr>
        <w:t>CMRS regulatory fees.  All other CMRS providers that did not file the NRUF report should report their subscriber count or telephone number units as of December 31, 201</w:t>
      </w:r>
      <w:r w:rsidR="00424B57">
        <w:rPr>
          <w:rFonts w:ascii="Times New Roman" w:hAnsi="Times New Roman"/>
          <w:sz w:val="22"/>
          <w:szCs w:val="22"/>
        </w:rPr>
        <w:t>8</w:t>
      </w:r>
      <w:r w:rsidR="00740480">
        <w:rPr>
          <w:rFonts w:ascii="Times New Roman" w:hAnsi="Times New Roman"/>
          <w:sz w:val="22"/>
          <w:szCs w:val="22"/>
        </w:rPr>
        <w:t xml:space="preserve"> for the payment of FY 201</w:t>
      </w:r>
      <w:r w:rsidR="00424B57">
        <w:rPr>
          <w:rFonts w:ascii="Times New Roman" w:hAnsi="Times New Roman"/>
          <w:sz w:val="22"/>
          <w:szCs w:val="22"/>
        </w:rPr>
        <w:t>9</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201</w:t>
      </w:r>
      <w:r w:rsidR="00424B57">
        <w:rPr>
          <w:rFonts w:ascii="Times New Roman" w:hAnsi="Times New Roman"/>
          <w:b/>
          <w:bCs/>
          <w:sz w:val="22"/>
          <w:szCs w:val="22"/>
        </w:rPr>
        <w:t>8</w:t>
      </w:r>
      <w:r w:rsidRPr="001F6CA3">
        <w:rPr>
          <w:rFonts w:ascii="Times New Roman" w:hAnsi="Times New Roman"/>
          <w:sz w:val="22"/>
          <w:szCs w:val="22"/>
        </w:rPr>
        <w:t xml:space="preserve"> for </w:t>
      </w:r>
      <w:r w:rsidR="00740480">
        <w:rPr>
          <w:rFonts w:ascii="Times New Roman" w:hAnsi="Times New Roman"/>
          <w:sz w:val="22"/>
          <w:szCs w:val="22"/>
        </w:rPr>
        <w:t>the payment of FY 201</w:t>
      </w:r>
      <w:r w:rsidR="00424B57">
        <w:rPr>
          <w:rFonts w:ascii="Times New Roman" w:hAnsi="Times New Roman"/>
          <w:sz w:val="22"/>
          <w:szCs w:val="22"/>
        </w:rPr>
        <w:t>9</w:t>
      </w:r>
      <w:r w:rsidR="00740480">
        <w:rPr>
          <w:rFonts w:ascii="Times New Roman" w:hAnsi="Times New Roman"/>
          <w:sz w:val="22"/>
          <w:szCs w:val="22"/>
        </w:rPr>
        <w:t xml:space="preserve"> regulatory fees.</w:t>
      </w:r>
    </w:p>
    <w:p w:rsidR="002E2BF1" w:rsidRPr="001F6CA3" w14:paraId="1F020C51"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14:paraId="2C9F37EC"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Section 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14:paraId="733130EC" w14:textId="77777777">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14:paraId="48E53B97" w14:textId="77777777">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14:paraId="412EC5EB" w14:textId="77777777">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14:paraId="3A6BAFB3" w14:textId="77777777">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14:paraId="50402C02"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63D8BBFE"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14:paraId="1D2BFB28"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Cellular Radio (Part 22) and CMRS Mobile Services (Parts 22, 24, 27, 80 and 90) </w:t>
            </w:r>
          </w:p>
          <w:p w:rsidR="002E2BF1" w:rsidRPr="001F6CA3" w:rsidP="002E2BF1" w14:paraId="3B4EE534"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1311.  </w:t>
            </w:r>
          </w:p>
        </w:tc>
        <w:tc>
          <w:tcPr>
            <w:tcW w:w="2880" w:type="dxa"/>
            <w:tcBorders>
              <w:top w:val="single" w:sz="6" w:space="0" w:color="auto"/>
              <w:left w:val="single" w:sz="6" w:space="0" w:color="auto"/>
            </w:tcBorders>
          </w:tcPr>
          <w:p w:rsidR="002E2BF1" w:rsidRPr="001F6CA3" w:rsidP="008E1439" w14:paraId="5CBBD428"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424B57">
              <w:rPr>
                <w:rFonts w:ascii="Times New Roman" w:hAnsi="Times New Roman"/>
                <w:sz w:val="22"/>
                <w:szCs w:val="22"/>
              </w:rPr>
              <w:t>19</w:t>
            </w:r>
            <w:r w:rsidRPr="001F6CA3">
              <w:rPr>
                <w:rFonts w:ascii="Times New Roman" w:hAnsi="Times New Roman"/>
                <w:sz w:val="22"/>
                <w:szCs w:val="22"/>
              </w:rPr>
              <w:t xml:space="preserve"> per telephone number/</w:t>
            </w:r>
            <w:r w:rsidR="00424B57">
              <w:rPr>
                <w:rFonts w:ascii="Times New Roman" w:hAnsi="Times New Roman"/>
                <w:sz w:val="22"/>
                <w:szCs w:val="22"/>
              </w:rPr>
              <w:t>subscriber count</w:t>
            </w:r>
          </w:p>
        </w:tc>
        <w:tc>
          <w:tcPr>
            <w:tcW w:w="1440" w:type="dxa"/>
            <w:tcBorders>
              <w:top w:val="single" w:sz="6" w:space="0" w:color="auto"/>
              <w:left w:val="single" w:sz="6" w:space="0" w:color="auto"/>
              <w:right w:val="double" w:sz="6" w:space="0" w:color="auto"/>
            </w:tcBorders>
          </w:tcPr>
          <w:p w:rsidR="002E2BF1" w:rsidRPr="001F6CA3" w:rsidP="008E1439" w14:paraId="2CC6DB53" w14:textId="77777777">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424B57">
              <w:rPr>
                <w:rFonts w:ascii="Times New Roman" w:hAnsi="Times New Roman"/>
                <w:sz w:val="22"/>
                <w:szCs w:val="22"/>
              </w:rPr>
              <w:t>9</w:t>
            </w:r>
            <w:r w:rsidRPr="001F6CA3">
              <w:rPr>
                <w:rFonts w:ascii="Times New Roman" w:hAnsi="Times New Roman"/>
                <w:sz w:val="22"/>
                <w:szCs w:val="22"/>
              </w:rPr>
              <w:t>11</w:t>
            </w:r>
          </w:p>
        </w:tc>
      </w:tr>
      <w:tr w14:paraId="4D461457"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14:paraId="0CB0EBFF"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14:paraId="7A5A5E9D"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$0.08 per </w:t>
            </w:r>
            <w:r w:rsidR="00424B57">
              <w:rPr>
                <w:rFonts w:ascii="Times New Roman" w:hAnsi="Times New Roman"/>
                <w:sz w:val="22"/>
                <w:szCs w:val="22"/>
              </w:rPr>
              <w:t>subscriber count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14:paraId="77ECAA16" w14:textId="77777777">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424B57">
              <w:rPr>
                <w:rFonts w:ascii="Times New Roman" w:hAnsi="Times New Roman"/>
                <w:sz w:val="22"/>
                <w:szCs w:val="22"/>
              </w:rPr>
              <w:t>9</w:t>
            </w:r>
            <w:r w:rsidRPr="001F6CA3">
              <w:rPr>
                <w:rFonts w:ascii="Times New Roman" w:hAnsi="Times New Roman"/>
                <w:sz w:val="22"/>
                <w:szCs w:val="22"/>
              </w:rPr>
              <w:t>13</w:t>
            </w:r>
          </w:p>
        </w:tc>
      </w:tr>
    </w:tbl>
    <w:p w:rsidR="002E2BF1" w:rsidRPr="001F6CA3" w14:paraId="14871B4F" w14:textId="77777777">
      <w:pPr>
        <w:pStyle w:val="header2"/>
        <w:tabs>
          <w:tab w:val="clear" w:pos="1440"/>
          <w:tab w:val="clear" w:pos="4320"/>
          <w:tab w:val="clear" w:pos="8640"/>
        </w:tabs>
        <w:suppressAutoHyphens w:val="0"/>
        <w:rPr>
          <w:bCs/>
          <w:sz w:val="22"/>
          <w:szCs w:val="22"/>
        </w:rPr>
      </w:pPr>
    </w:p>
    <w:p w:rsidR="002E2BF1" w:rsidRPr="001F6CA3" w14:paraId="1E2F670A" w14:textId="77777777">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14:paraId="1B90AD19" w14:textId="77777777">
      <w:pPr>
        <w:tabs>
          <w:tab w:val="left" w:pos="-720"/>
        </w:tabs>
        <w:suppressAutoHyphens/>
        <w:rPr>
          <w:rFonts w:ascii="Times New Roman" w:hAnsi="Times New Roman"/>
          <w:b/>
          <w:sz w:val="22"/>
          <w:szCs w:val="22"/>
        </w:rPr>
      </w:pPr>
    </w:p>
    <w:p w:rsidR="002E2BF1" w:rsidRPr="001F6CA3" w14:paraId="184D4FFB" w14:textId="2A947709">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201</w:t>
      </w:r>
      <w:r w:rsidR="00703490">
        <w:rPr>
          <w:rFonts w:ascii="Times New Roman" w:hAnsi="Times New Roman"/>
          <w:bCs/>
          <w:sz w:val="22"/>
          <w:szCs w:val="22"/>
        </w:rPr>
        <w:t>8</w:t>
      </w:r>
      <w:r w:rsidRPr="001F6CA3">
        <w:rPr>
          <w:rFonts w:ascii="Times New Roman" w:hAnsi="Times New Roman"/>
          <w:sz w:val="22"/>
          <w:szCs w:val="22"/>
        </w:rPr>
        <w:t xml:space="preserve">, </w:t>
      </w:r>
      <w:r w:rsidRPr="001F6CA3">
        <w:rPr>
          <w:rFonts w:ascii="Times New Roman" w:hAnsi="Times New Roman"/>
          <w:sz w:val="22"/>
          <w:szCs w:val="22"/>
          <w:u w:val="single"/>
        </w:rPr>
        <w:t xml:space="preserve">even if a license expired after October 1, </w:t>
      </w:r>
      <w:r w:rsidRPr="001F6CA3">
        <w:rPr>
          <w:rFonts w:ascii="Times New Roman" w:hAnsi="Times New Roman"/>
          <w:sz w:val="22"/>
          <w:szCs w:val="22"/>
          <w:u w:val="single"/>
        </w:rPr>
        <w:t>201</w:t>
      </w:r>
      <w:r w:rsidR="00703490">
        <w:rPr>
          <w:rFonts w:ascii="Times New Roman" w:hAnsi="Times New Roman"/>
          <w:sz w:val="22"/>
          <w:szCs w:val="22"/>
          <w:u w:val="single"/>
        </w:rPr>
        <w:t>8</w:t>
      </w:r>
      <w:r w:rsidRPr="001F6CA3">
        <w:rPr>
          <w:rFonts w:ascii="Times New Roman" w:hAnsi="Times New Roman"/>
          <w:sz w:val="22"/>
          <w:szCs w:val="22"/>
        </w:rPr>
        <w:t>.</w:t>
      </w:r>
      <w:r w:rsidRPr="001F6CA3">
        <w:rPr>
          <w:rFonts w:ascii="Times New Roman" w:hAnsi="Times New Roman"/>
          <w:sz w:val="22"/>
          <w:szCs w:val="22"/>
        </w:rPr>
        <w:t xml:space="preserve">  In instances where a license or authorization is transferred or assigned after October 1, 201</w:t>
      </w:r>
      <w:r w:rsidR="00703490">
        <w:rPr>
          <w:rFonts w:ascii="Times New Roman" w:hAnsi="Times New Roman"/>
          <w:sz w:val="22"/>
          <w:szCs w:val="22"/>
        </w:rPr>
        <w:t>8</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14:paraId="690216FD" w14:textId="77777777">
      <w:pPr>
        <w:tabs>
          <w:tab w:val="left" w:pos="-720"/>
        </w:tabs>
        <w:suppressAutoHyphens/>
        <w:rPr>
          <w:rFonts w:ascii="Times New Roman" w:hAnsi="Times New Roman"/>
          <w:b/>
          <w:smallCaps/>
          <w:sz w:val="22"/>
          <w:szCs w:val="22"/>
        </w:rPr>
      </w:pPr>
    </w:p>
    <w:p w:rsidR="002E2BF1" w:rsidRPr="001F6CA3" w14:paraId="1038DAB4" w14:textId="77777777">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14:paraId="702AE95B"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14:paraId="5F97A3F0" w14:textId="77777777">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14:paraId="39472A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14:paraId="7A2B5805"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14:paraId="6BDCA210" w14:textId="77777777">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14:paraId="0A422F89"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14:paraId="282647A7"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74F3A98F"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14:paraId="577918F6"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14:paraId="5BBF68FC" w14:textId="77777777">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D907F6">
              <w:rPr>
                <w:rFonts w:ascii="Times New Roman" w:hAnsi="Times New Roman"/>
                <w:sz w:val="22"/>
                <w:szCs w:val="22"/>
              </w:rPr>
              <w:t>6</w:t>
            </w:r>
            <w:r w:rsidR="00424B57">
              <w:rPr>
                <w:rFonts w:ascii="Times New Roman" w:hAnsi="Times New Roman"/>
                <w:sz w:val="22"/>
                <w:szCs w:val="22"/>
              </w:rPr>
              <w:t>9</w:t>
            </w:r>
            <w:r w:rsidR="008E1439">
              <w:rPr>
                <w:rFonts w:ascii="Times New Roman" w:hAnsi="Times New Roman"/>
                <w:sz w:val="22"/>
                <w:szCs w:val="22"/>
              </w:rPr>
              <w:t>0</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14:paraId="592B80A9" w14:textId="77777777">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424B57">
              <w:rPr>
                <w:rFonts w:ascii="Times New Roman" w:hAnsi="Times New Roman"/>
                <w:sz w:val="22"/>
                <w:szCs w:val="22"/>
              </w:rPr>
              <w:t>9</w:t>
            </w:r>
            <w:r w:rsidRPr="001F6CA3">
              <w:rPr>
                <w:rFonts w:ascii="Times New Roman" w:hAnsi="Times New Roman"/>
                <w:sz w:val="22"/>
                <w:szCs w:val="22"/>
              </w:rPr>
              <w:t>14</w:t>
            </w:r>
          </w:p>
        </w:tc>
      </w:tr>
      <w:tr w14:paraId="34F5117E"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14:paraId="42BCCECE"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14:paraId="6056986A" w14:textId="77777777">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D907F6">
              <w:rPr>
                <w:rFonts w:ascii="Times New Roman" w:hAnsi="Times New Roman"/>
                <w:sz w:val="22"/>
                <w:szCs w:val="22"/>
              </w:rPr>
              <w:t>6</w:t>
            </w:r>
            <w:r w:rsidR="00424B57">
              <w:rPr>
                <w:rFonts w:ascii="Times New Roman" w:hAnsi="Times New Roman"/>
                <w:sz w:val="22"/>
                <w:szCs w:val="22"/>
              </w:rPr>
              <w:t>9</w:t>
            </w:r>
            <w:r w:rsidR="008E1439">
              <w:rPr>
                <w:rFonts w:ascii="Times New Roman" w:hAnsi="Times New Roman"/>
                <w:sz w:val="22"/>
                <w:szCs w:val="22"/>
              </w:rPr>
              <w:t>0</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14:paraId="752203B4" w14:textId="77777777">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424B57">
              <w:rPr>
                <w:rFonts w:ascii="Times New Roman" w:hAnsi="Times New Roman"/>
                <w:sz w:val="22"/>
                <w:szCs w:val="22"/>
              </w:rPr>
              <w:t>9</w:t>
            </w:r>
            <w:r w:rsidRPr="001F6CA3">
              <w:rPr>
                <w:rFonts w:ascii="Times New Roman" w:hAnsi="Times New Roman"/>
                <w:sz w:val="22"/>
                <w:szCs w:val="22"/>
              </w:rPr>
              <w:t>85</w:t>
            </w:r>
          </w:p>
        </w:tc>
      </w:tr>
    </w:tbl>
    <w:p w:rsidR="002E2BF1" w:rsidRPr="001F6CA3" w14:paraId="38ACE76A" w14:textId="77777777">
      <w:pPr>
        <w:tabs>
          <w:tab w:val="left" w:pos="-720"/>
        </w:tabs>
        <w:suppressAutoHyphens/>
        <w:jc w:val="center"/>
        <w:outlineLvl w:val="0"/>
        <w:rPr>
          <w:rFonts w:ascii="Times New Roman" w:hAnsi="Times New Roman"/>
          <w:b/>
          <w:sz w:val="22"/>
          <w:szCs w:val="22"/>
        </w:rPr>
      </w:pPr>
    </w:p>
    <w:p w:rsidR="00B30701" w:rsidRPr="001F6CA3" w:rsidP="002E2BF1" w14:paraId="67EA6B6C" w14:textId="2DD79675">
      <w:pPr>
        <w:tabs>
          <w:tab w:val="left" w:pos="-720"/>
        </w:tabs>
        <w:suppressAutoHyphens/>
        <w:rPr>
          <w:rFonts w:ascii="Times New Roman" w:hAnsi="Times New Roman"/>
          <w:b/>
          <w:sz w:val="22"/>
          <w:szCs w:val="22"/>
        </w:rPr>
      </w:pPr>
    </w:p>
    <w:p w:rsidR="002E2BF1" w:rsidRPr="00C71464" w:rsidP="002E2BF1" w14:paraId="2727EBF9" w14:textId="77777777">
      <w:pPr>
        <w:pStyle w:val="ParaNum0"/>
        <w:numPr>
          <w:ilvl w:val="0"/>
          <w:numId w:val="0"/>
        </w:numPr>
        <w:jc w:val="center"/>
        <w:rPr>
          <w:b/>
          <w:szCs w:val="22"/>
        </w:rPr>
      </w:pPr>
      <w:r w:rsidRPr="00C71464">
        <w:rPr>
          <w:b/>
          <w:szCs w:val="22"/>
        </w:rPr>
        <w:t>MANDATORY USE OF FEE FILER</w:t>
      </w:r>
    </w:p>
    <w:p w:rsidR="00FB127B" w:rsidP="00FB127B" w14:paraId="41946BD9" w14:textId="77777777">
      <w:pPr>
        <w:widowControl/>
        <w:rPr>
          <w:rFonts w:ascii="Times New Roman" w:hAnsi="Times New Roman"/>
          <w:sz w:val="24"/>
          <w:szCs w:val="24"/>
        </w:rPr>
      </w:pPr>
      <w:r>
        <w:rPr>
          <w:rFonts w:ascii="Times New Roman" w:hAnsi="Times New Roman"/>
          <w:sz w:val="22"/>
          <w:szCs w:val="22"/>
        </w:rPr>
        <w:t xml:space="preserve">The use of the online Fee Filer system for filing regulatory fees has not changed since the process was first initiated in FY 2009:  licensees and </w:t>
      </w:r>
      <w:r>
        <w:rPr>
          <w:rFonts w:ascii="Times New Roman" w:hAnsi="Times New Roman"/>
          <w:sz w:val="22"/>
          <w:szCs w:val="22"/>
        </w:rPr>
        <w:t>regulatees</w:t>
      </w:r>
      <w:r>
        <w:rPr>
          <w:rFonts w:ascii="Times New Roman" w:hAnsi="Times New Roman"/>
          <w:sz w:val="22"/>
          <w:szCs w:val="22"/>
        </w:rPr>
        <w:t xml:space="preserve"> must first enter the Commission’s Fee Filer system with a valid FRN and </w:t>
      </w:r>
      <w:r>
        <w:rPr>
          <w:rFonts w:ascii="Times New Roman" w:hAnsi="Times New Roman"/>
          <w:sz w:val="22"/>
          <w:szCs w:val="22"/>
        </w:rPr>
        <w:t>password, and</w:t>
      </w:r>
      <w:r>
        <w:rPr>
          <w:rFonts w:ascii="Times New Roman" w:hAnsi="Times New Roman"/>
          <w:sz w:val="22"/>
          <w:szCs w:val="22"/>
        </w:rPr>
        <w:t xml:space="preserve"> follow the online prompts to review their data and submit an electronic fee payment.</w:t>
      </w:r>
      <w:r>
        <w:rPr>
          <w:rFonts w:ascii="Times New Roman" w:hAnsi="Times New Roman"/>
          <w:iCs/>
          <w:sz w:val="22"/>
          <w:szCs w:val="22"/>
        </w:rPr>
        <w:t xml:space="preserve">  </w:t>
      </w:r>
      <w:r>
        <w:rPr>
          <w:rFonts w:ascii="Times New Roman" w:hAnsi="Times New Roman"/>
          <w:sz w:val="22"/>
          <w:szCs w:val="22"/>
        </w:rPr>
        <w:t xml:space="preserve">Use of the online Fee Filer system is mandatory, and </w:t>
      </w:r>
      <w:r>
        <w:rPr>
          <w:rFonts w:ascii="Times New Roman" w:hAnsi="Times New Roman"/>
          <w:b/>
          <w:sz w:val="22"/>
          <w:szCs w:val="22"/>
        </w:rPr>
        <w:t xml:space="preserve">payments in the form of checks, money orders, and cashier’s checks </w:t>
      </w:r>
      <w:r w:rsidR="0023505F">
        <w:rPr>
          <w:rFonts w:ascii="Times New Roman" w:hAnsi="Times New Roman"/>
          <w:b/>
          <w:sz w:val="22"/>
          <w:szCs w:val="22"/>
          <w:u w:val="single"/>
        </w:rPr>
        <w:t xml:space="preserve">will not be </w:t>
      </w:r>
      <w:r>
        <w:rPr>
          <w:rFonts w:ascii="Times New Roman" w:hAnsi="Times New Roman"/>
          <w:b/>
          <w:sz w:val="22"/>
          <w:szCs w:val="22"/>
          <w:u w:val="single"/>
        </w:rPr>
        <w:t>accepted</w:t>
      </w:r>
      <w:r>
        <w:rPr>
          <w:rFonts w:ascii="Times New Roman" w:hAnsi="Times New Roman"/>
          <w:sz w:val="22"/>
          <w:szCs w:val="22"/>
        </w:rPr>
        <w:t xml:space="preserve">. </w:t>
      </w:r>
      <w:r>
        <w:rPr>
          <w:rStyle w:val="FootnoteReference"/>
          <w:rFonts w:ascii="Times New Roman" w:hAnsi="Times New Roman"/>
          <w:sz w:val="22"/>
          <w:szCs w:val="22"/>
        </w:rPr>
        <w:footnoteReference w:id="3"/>
      </w:r>
      <w:r>
        <w:rPr>
          <w:rFonts w:ascii="Times New Roman" w:hAnsi="Times New Roman"/>
          <w:sz w:val="22"/>
          <w:szCs w:val="22"/>
        </w:rPr>
        <w:t xml:space="preserve">  In making a wire transfer, please fax the “</w:t>
      </w:r>
      <w:r>
        <w:rPr>
          <w:sz w:val="22"/>
          <w:szCs w:val="22"/>
          <w:u w:val="single"/>
        </w:rPr>
        <w:t>Wire Transfer Instructions”</w:t>
      </w:r>
      <w:r>
        <w:rPr>
          <w:sz w:val="22"/>
          <w:szCs w:val="22"/>
        </w:rPr>
        <w:t xml:space="preserve"> from Fee Filer to the Federal Communications Commission at (202) 418-2843 at least one hour before initiating the wire transfer</w:t>
      </w:r>
      <w:r>
        <w:rPr>
          <w:b/>
          <w:sz w:val="22"/>
          <w:szCs w:val="22"/>
        </w:rPr>
        <w:t xml:space="preserve"> (but on the same business day) so as not to delay crediting their account.  These Wire Transfer Instructions contain valuable information (</w:t>
      </w:r>
      <w:r w:rsidRPr="00703490">
        <w:rPr>
          <w:b/>
          <w:i/>
          <w:sz w:val="22"/>
          <w:szCs w:val="22"/>
        </w:rPr>
        <w:t>e.g.</w:t>
      </w:r>
      <w:r>
        <w:rPr>
          <w:b/>
          <w:sz w:val="22"/>
          <w:szCs w:val="22"/>
        </w:rPr>
        <w:t xml:space="preserve"> FRN, Voucher Number, Payer Name, and the Amount of the Wire) that will help to post the payment more </w:t>
      </w:r>
      <w:r>
        <w:rPr>
          <w:b/>
          <w:sz w:val="22"/>
          <w:szCs w:val="22"/>
        </w:rPr>
        <w:t>quickly, and</w:t>
      </w:r>
      <w:r>
        <w:rPr>
          <w:b/>
          <w:sz w:val="22"/>
          <w:szCs w:val="22"/>
        </w:rPr>
        <w:t xml:space="preserve"> avoid costly delays that could result in penalties and interest for missing the payment due date.  </w:t>
      </w:r>
      <w:r>
        <w:rPr>
          <w:sz w:val="22"/>
          <w:szCs w:val="22"/>
        </w:rPr>
        <w:t>Please note that most wire transfers initiated after 6:00 p.m. (EDT) will be credited the next business day</w:t>
      </w:r>
      <w:r w:rsidR="00424B57">
        <w:rPr>
          <w:sz w:val="22"/>
          <w:szCs w:val="22"/>
        </w:rPr>
        <w:t>, and international wires may take a little longer</w:t>
      </w:r>
      <w:r>
        <w:rPr>
          <w:sz w:val="22"/>
          <w:szCs w:val="22"/>
        </w:rPr>
        <w:t>.</w:t>
      </w:r>
      <w:r>
        <w:rPr>
          <w:rFonts w:ascii="Times New Roman" w:hAnsi="Times New Roman"/>
          <w:sz w:val="24"/>
          <w:szCs w:val="24"/>
        </w:rPr>
        <w:t xml:space="preserve"> </w:t>
      </w:r>
    </w:p>
    <w:p w:rsidR="00FB127B" w:rsidP="00FB127B" w14:paraId="75FA4D1A" w14:textId="77777777">
      <w:pPr>
        <w:widowControl/>
        <w:rPr>
          <w:rFonts w:ascii="Times New Roman" w:hAnsi="Times New Roman"/>
          <w:sz w:val="24"/>
          <w:szCs w:val="24"/>
        </w:rPr>
      </w:pPr>
    </w:p>
    <w:p w:rsidR="002E2BF1" w:rsidRPr="00C71464" w:rsidP="002E2BF1" w14:paraId="1E6CE684"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14:paraId="52D42A66" w14:textId="77777777">
      <w:pPr>
        <w:tabs>
          <w:tab w:val="left" w:pos="-720"/>
        </w:tabs>
        <w:suppressAutoHyphens/>
        <w:jc w:val="center"/>
        <w:outlineLvl w:val="0"/>
        <w:rPr>
          <w:rFonts w:ascii="Times New Roman" w:hAnsi="Times New Roman"/>
          <w:b/>
          <w:sz w:val="22"/>
          <w:szCs w:val="22"/>
        </w:rPr>
      </w:pPr>
    </w:p>
    <w:p w:rsidR="002E2BF1" w:rsidP="00703490" w14:paraId="306B59BB" w14:textId="77777777">
      <w:pPr>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4"/>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424B57">
        <w:rPr>
          <w:rFonts w:ascii="Times New Roman" w:hAnsi="Times New Roman"/>
          <w:sz w:val="22"/>
        </w:rPr>
        <w:t>9</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hyperlink r:id="rId6" w:history="1">
        <w:r w:rsidRPr="00C71464">
          <w:rPr>
            <w:rStyle w:val="Hyperlink"/>
            <w:rFonts w:ascii="Times New Roman" w:hAnsi="Times New Roman"/>
            <w:sz w:val="22"/>
          </w:rPr>
          <w:t>https://www.fcc.gov/regfees</w:t>
        </w:r>
      </w:hyperlink>
      <w:r w:rsidRPr="004A4015">
        <w:rPr>
          <w:rFonts w:ascii="Times New Roman" w:hAnsi="Times New Roman"/>
          <w:color w:val="1F497D"/>
          <w:sz w:val="22"/>
        </w:rPr>
        <w:t xml:space="preserve">.  </w:t>
      </w: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P="00703490" w14:paraId="215E2A23" w14:textId="77777777">
      <w:pPr>
        <w:rPr>
          <w:rFonts w:ascii="Times New Roman" w:hAnsi="Times New Roman"/>
          <w:sz w:val="22"/>
          <w:szCs w:val="22"/>
        </w:rPr>
      </w:pPr>
    </w:p>
    <w:p w:rsidR="002E2BF1" w:rsidRPr="00C71464" w:rsidP="00CF3E70" w14:paraId="348333F8"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14:paraId="286D6DDD" w14:textId="1FBEA109">
      <w:pPr>
        <w:rPr>
          <w:rFonts w:ascii="Times New Roman" w:hAnsi="Times New Roman"/>
          <w:spacing w:val="-3"/>
          <w:sz w:val="22"/>
          <w:szCs w:val="24"/>
        </w:rPr>
      </w:pPr>
      <w:r w:rsidRPr="00C71464">
        <w:rPr>
          <w:rFonts w:ascii="Times New Roman" w:hAnsi="Times New Roman"/>
          <w:sz w:val="22"/>
        </w:rPr>
        <w:t>Regulatees</w:t>
      </w:r>
      <w:r w:rsidRPr="00C71464">
        <w:rPr>
          <w:rFonts w:ascii="Times New Roman" w:hAnsi="Times New Roman"/>
          <w:sz w:val="22"/>
        </w:rPr>
        <w:t xml:space="preserve"> whose total FY 201</w:t>
      </w:r>
      <w:r w:rsidR="00424B57">
        <w:rPr>
          <w:rFonts w:ascii="Times New Roman" w:hAnsi="Times New Roman"/>
          <w:sz w:val="22"/>
        </w:rPr>
        <w:t>9</w:t>
      </w:r>
      <w:r w:rsidRPr="00C71464">
        <w:rPr>
          <w:rFonts w:ascii="Times New Roman" w:hAnsi="Times New Roman"/>
          <w:sz w:val="22"/>
        </w:rPr>
        <w:t xml:space="preserve"> annual regulatory fee liability, including all categories of fees for which payment is due, is $</w:t>
      </w:r>
      <w:r w:rsidR="008E1439">
        <w:rPr>
          <w:rFonts w:ascii="Times New Roman" w:hAnsi="Times New Roman"/>
          <w:sz w:val="22"/>
        </w:rPr>
        <w:t>1,000</w:t>
      </w:r>
      <w:r w:rsidRPr="00C71464">
        <w:rPr>
          <w:rFonts w:ascii="Times New Roman" w:hAnsi="Times New Roman"/>
          <w:sz w:val="22"/>
        </w:rPr>
        <w:t xml:space="preserve"> or less are exempt from payment of FY 201</w:t>
      </w:r>
      <w:r w:rsidR="00424B57">
        <w:rPr>
          <w:rFonts w:ascii="Times New Roman" w:hAnsi="Times New Roman"/>
          <w:sz w:val="22"/>
        </w:rPr>
        <w:t>9</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8E1439">
        <w:rPr>
          <w:rFonts w:ascii="Times New Roman" w:hAnsi="Times New Roman"/>
          <w:sz w:val="22"/>
          <w:u w:val="single"/>
        </w:rPr>
        <w:t>annual</w:t>
      </w:r>
      <w:r w:rsidRPr="00C71464">
        <w:rPr>
          <w:rFonts w:ascii="Times New Roman" w:hAnsi="Times New Roman"/>
          <w:sz w:val="22"/>
        </w:rPr>
        <w:t xml:space="preserve"> regulatory fees (not regulatory fees paid through multi-year </w:t>
      </w:r>
      <w:r w:rsidR="00991CFE">
        <w:rPr>
          <w:rFonts w:ascii="Times New Roman" w:hAnsi="Times New Roman"/>
          <w:sz w:val="22"/>
        </w:rPr>
        <w:t xml:space="preserve">wireless </w:t>
      </w:r>
      <w:r w:rsidRPr="00C71464">
        <w:rPr>
          <w:rFonts w:ascii="Times New Roman" w:hAnsi="Times New Roman"/>
          <w:sz w:val="22"/>
        </w:rPr>
        <w:t xml:space="preserve">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00B827E6">
        <w:rPr>
          <w:rFonts w:ascii="Times New Roman" w:hAnsi="Times New Roman"/>
          <w:sz w:val="22"/>
        </w:rPr>
        <w:t xml:space="preserve">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703490" w:rsidP="00703490" w14:paraId="6F34A7A4" w14:textId="52102275">
      <w:pPr>
        <w:rPr>
          <w:rFonts w:ascii="Times New Roman" w:hAnsi="Times New Roman"/>
          <w:spacing w:val="-3"/>
          <w:sz w:val="22"/>
          <w:szCs w:val="24"/>
        </w:rPr>
      </w:pPr>
    </w:p>
    <w:p w:rsidR="00703490" w:rsidRPr="00C71464" w:rsidP="00703490" w14:paraId="5006C14A" w14:textId="77777777">
      <w:pPr>
        <w:rPr>
          <w:rFonts w:ascii="Times New Roman" w:hAnsi="Times New Roman"/>
          <w:sz w:val="22"/>
        </w:rPr>
      </w:pPr>
    </w:p>
    <w:p w:rsidR="002E2BF1" w:rsidRPr="001F6CA3" w:rsidP="002E2BF1" w14:paraId="091C76AE" w14:textId="77777777">
      <w:pPr>
        <w:pStyle w:val="ParaNum0"/>
        <w:numPr>
          <w:ilvl w:val="0"/>
          <w:numId w:val="0"/>
        </w:numPr>
        <w:jc w:val="center"/>
        <w:rPr>
          <w:szCs w:val="22"/>
        </w:rPr>
      </w:pPr>
      <w:r w:rsidRPr="001F6CA3">
        <w:rPr>
          <w:szCs w:val="22"/>
        </w:rPr>
        <w:t>-FCC-</w:t>
      </w:r>
    </w:p>
    <w:sectPr w:rsidSect="002E2BF1">
      <w:footerReference w:type="even" r:id="rId7"/>
      <w:footerReference w:type="default" r:id="rId8"/>
      <w:headerReference w:type="first" r:id="rId9"/>
      <w:type w:val="continuous"/>
      <w:pgSz w:w="12240" w:h="15840" w:code="1"/>
      <w:pgMar w:top="1440" w:right="864" w:bottom="864"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08CF34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2BF1" w14:paraId="100FE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48D90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7DC">
      <w:rPr>
        <w:rStyle w:val="PageNumber"/>
        <w:noProof/>
      </w:rPr>
      <w:t>3</w:t>
    </w:r>
    <w:r>
      <w:rPr>
        <w:rStyle w:val="PageNumber"/>
      </w:rPr>
      <w:fldChar w:fldCharType="end"/>
    </w:r>
  </w:p>
  <w:p w:rsidR="002E2BF1" w14:paraId="4A214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32DF" w14:paraId="4EB4EE3D" w14:textId="77777777">
      <w:r>
        <w:separator/>
      </w:r>
    </w:p>
  </w:footnote>
  <w:footnote w:type="continuationSeparator" w:id="1">
    <w:p w:rsidR="007832DF" w14:paraId="2B34AB20" w14:textId="77777777">
      <w:r>
        <w:continuationSeparator/>
      </w:r>
    </w:p>
  </w:footnote>
  <w:footnote w:id="2">
    <w:p w:rsidR="002E2BF1" w:rsidP="00B30701" w14:paraId="664279A6" w14:textId="77777777">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0E516A">
        <w:rPr>
          <w:lang w:val="en-US"/>
        </w:rPr>
        <w:t>d</w:t>
      </w:r>
      <w:r>
        <w:t xml:space="preserve"> by the due date of FY 201</w:t>
      </w:r>
      <w:r w:rsidR="00424B57">
        <w:rPr>
          <w:lang w:val="en-US"/>
        </w:rPr>
        <w:t>9</w:t>
      </w:r>
      <w:r>
        <w:t xml:space="preserve"> regulatory fees.  </w:t>
      </w:r>
    </w:p>
  </w:footnote>
  <w:footnote w:id="3">
    <w:p w:rsidR="00FB127B" w:rsidP="00B30701" w14:paraId="36226D87"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2E2BF1" w:rsidP="00B30701" w14:paraId="61D0A7BC" w14:textId="77777777">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14:paraId="2574F2D6"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72104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14:paraId="1294B238" w14:textId="77777777">
    <w:pPr>
      <w:pStyle w:val="Header"/>
      <w:tabs>
        <w:tab w:val="clear" w:pos="4320"/>
        <w:tab w:val="clear" w:pos="8640"/>
      </w:tabs>
      <w:spacing w:before="40"/>
      <w:jc w:val="center"/>
      <w:rPr>
        <w:rFonts w:ascii="Times New Roman" w:hAnsi="Times New Roman"/>
        <w:b/>
        <w:kern w:val="28"/>
        <w:sz w:val="44"/>
        <w:szCs w:val="44"/>
      </w:rPr>
    </w:pPr>
  </w:p>
  <w:p w:rsidR="007F47DC" w:rsidP="007F47DC" w14:paraId="6D85C3D7"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7777777">
                          <w:pPr>
                            <w:rPr>
                              <w:rFonts w:ascii="Arial" w:hAnsi="Arial"/>
                              <w:b/>
                            </w:rPr>
                          </w:pPr>
                          <w:r>
                            <w:rPr>
                              <w:rFonts w:ascii="Arial" w:hAnsi="Arial"/>
                              <w:b/>
                            </w:rPr>
                            <w:t>Federal Communications Commission</w:t>
                          </w:r>
                        </w:p>
                        <w:p w:rsidR="007F47DC" w:rsidP="007F47D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14:paraId="1CBFD361" w14:textId="77777777">
                    <w:pPr>
                      <w:rPr>
                        <w:rFonts w:ascii="Arial" w:hAnsi="Arial"/>
                        <w:b/>
                      </w:rPr>
                    </w:pPr>
                    <w:r>
                      <w:rPr>
                        <w:rFonts w:ascii="Arial" w:hAnsi="Arial"/>
                        <w:b/>
                      </w:rPr>
                      <w:t>Federal Communications Commission</w:t>
                    </w:r>
                  </w:p>
                  <w:p w:rsidR="007F47DC" w:rsidP="007F47DC" w14:paraId="061D024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14:paraId="21ED806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2A19B0F">
                          <w:pPr>
                            <w:spacing w:before="40"/>
                            <w:jc w:val="right"/>
                            <w:rPr>
                              <w:rFonts w:ascii="Arial" w:hAnsi="Arial"/>
                              <w:b/>
                              <w:sz w:val="16"/>
                            </w:rPr>
                          </w:pPr>
                          <w:r>
                            <w:rPr>
                              <w:rFonts w:ascii="Arial" w:hAnsi="Arial"/>
                              <w:b/>
                            </w:rPr>
                            <w:t>September</w:t>
                          </w:r>
                          <w:r w:rsidR="00D907F6">
                            <w:rPr>
                              <w:rFonts w:ascii="Arial" w:hAnsi="Arial"/>
                              <w:b/>
                            </w:rPr>
                            <w:t xml:space="preserve"> </w:t>
                          </w:r>
                          <w:r>
                            <w:rPr>
                              <w:rFonts w:ascii="Arial" w:hAnsi="Arial"/>
                              <w:b/>
                            </w:rPr>
                            <w:t>9</w:t>
                          </w:r>
                          <w:r w:rsidR="00110526">
                            <w:rPr>
                              <w:rFonts w:ascii="Arial" w:hAnsi="Arial"/>
                              <w:b/>
                            </w:rPr>
                            <w:t>,</w:t>
                          </w:r>
                          <w:r>
                            <w:rPr>
                              <w:rFonts w:ascii="Arial" w:hAnsi="Arial"/>
                              <w:b/>
                            </w:rPr>
                            <w:t xml:space="preserve"> 201</w:t>
                          </w:r>
                          <w:r w:rsidR="00E200C2">
                            <w:rPr>
                              <w:rFonts w:ascii="Arial" w:hAnsi="Arial"/>
                              <w:b/>
                            </w:rPr>
                            <w:t>9</w:t>
                          </w:r>
                        </w:p>
                        <w:p w:rsidR="007F47DC" w:rsidP="007F47D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14:paraId="0C1978E8" w14:textId="72A19B0F">
                    <w:pPr>
                      <w:spacing w:before="40"/>
                      <w:jc w:val="right"/>
                      <w:rPr>
                        <w:rFonts w:ascii="Arial" w:hAnsi="Arial"/>
                        <w:b/>
                        <w:sz w:val="16"/>
                      </w:rPr>
                    </w:pPr>
                    <w:r>
                      <w:rPr>
                        <w:rFonts w:ascii="Arial" w:hAnsi="Arial"/>
                        <w:b/>
                      </w:rPr>
                      <w:t>September</w:t>
                    </w:r>
                    <w:r w:rsidR="00D907F6">
                      <w:rPr>
                        <w:rFonts w:ascii="Arial" w:hAnsi="Arial"/>
                        <w:b/>
                      </w:rPr>
                      <w:t xml:space="preserve"> </w:t>
                    </w:r>
                    <w:r>
                      <w:rPr>
                        <w:rFonts w:ascii="Arial" w:hAnsi="Arial"/>
                        <w:b/>
                      </w:rPr>
                      <w:t>9</w:t>
                    </w:r>
                    <w:r w:rsidR="00110526">
                      <w:rPr>
                        <w:rFonts w:ascii="Arial" w:hAnsi="Arial"/>
                        <w:b/>
                      </w:rPr>
                      <w:t>,</w:t>
                    </w:r>
                    <w:r>
                      <w:rPr>
                        <w:rFonts w:ascii="Arial" w:hAnsi="Arial"/>
                        <w:b/>
                      </w:rPr>
                      <w:t xml:space="preserve"> 201</w:t>
                    </w:r>
                    <w:r w:rsidR="00E200C2">
                      <w:rPr>
                        <w:rFonts w:ascii="Arial" w:hAnsi="Arial"/>
                        <w:b/>
                      </w:rPr>
                      <w:t>9</w:t>
                    </w:r>
                  </w:p>
                  <w:p w:rsidR="007F47DC" w:rsidP="007F47DC" w14:paraId="484016A6"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14:paraId="3FB7037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5"/>
    <w:rsid w:val="00012523"/>
    <w:rsid w:val="0004355B"/>
    <w:rsid w:val="000C59E9"/>
    <w:rsid w:val="000E516A"/>
    <w:rsid w:val="000F249A"/>
    <w:rsid w:val="00110526"/>
    <w:rsid w:val="001751C5"/>
    <w:rsid w:val="0019470D"/>
    <w:rsid w:val="001A5C93"/>
    <w:rsid w:val="001F6CA3"/>
    <w:rsid w:val="0023505F"/>
    <w:rsid w:val="00262095"/>
    <w:rsid w:val="00263F1E"/>
    <w:rsid w:val="0027653B"/>
    <w:rsid w:val="002E2BF1"/>
    <w:rsid w:val="0031363E"/>
    <w:rsid w:val="00393D4A"/>
    <w:rsid w:val="0040614A"/>
    <w:rsid w:val="00424B57"/>
    <w:rsid w:val="004A4015"/>
    <w:rsid w:val="004F03AD"/>
    <w:rsid w:val="00512CD0"/>
    <w:rsid w:val="00527035"/>
    <w:rsid w:val="00580E27"/>
    <w:rsid w:val="005E37B1"/>
    <w:rsid w:val="0062575A"/>
    <w:rsid w:val="00703490"/>
    <w:rsid w:val="00735857"/>
    <w:rsid w:val="00740480"/>
    <w:rsid w:val="007832DF"/>
    <w:rsid w:val="007C5FCE"/>
    <w:rsid w:val="007E28FD"/>
    <w:rsid w:val="007F47DC"/>
    <w:rsid w:val="00803BA6"/>
    <w:rsid w:val="008816C4"/>
    <w:rsid w:val="00890A85"/>
    <w:rsid w:val="008C0772"/>
    <w:rsid w:val="008E1439"/>
    <w:rsid w:val="009162FD"/>
    <w:rsid w:val="00991CFE"/>
    <w:rsid w:val="00A06161"/>
    <w:rsid w:val="00B30701"/>
    <w:rsid w:val="00B827E6"/>
    <w:rsid w:val="00BB164C"/>
    <w:rsid w:val="00BF7DEE"/>
    <w:rsid w:val="00C33A1F"/>
    <w:rsid w:val="00C63217"/>
    <w:rsid w:val="00C71464"/>
    <w:rsid w:val="00C92D3A"/>
    <w:rsid w:val="00CA5105"/>
    <w:rsid w:val="00CF3E70"/>
    <w:rsid w:val="00D106B8"/>
    <w:rsid w:val="00D818A5"/>
    <w:rsid w:val="00D907F6"/>
    <w:rsid w:val="00E14AF6"/>
    <w:rsid w:val="00E200C2"/>
    <w:rsid w:val="00EF1AE7"/>
    <w:rsid w:val="00F12B45"/>
    <w:rsid w:val="00F22398"/>
    <w:rsid w:val="00FB127B"/>
    <w:rsid w:val="00FC3F46"/>
    <w:rsid w:val="00FE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649CC8-5A04-431C-900E-585E04DE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