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B5E0B" w14:paraId="58E853A5" w14:textId="77777777">
      <w:pPr>
        <w:tabs>
          <w:tab w:val="center" w:pos="4770"/>
        </w:tabs>
        <w:jc w:val="center"/>
        <w:rPr>
          <w:b/>
          <w:sz w:val="22"/>
          <w:szCs w:val="22"/>
        </w:rPr>
      </w:pPr>
      <w:r>
        <w:rPr>
          <w:b/>
          <w:sz w:val="22"/>
          <w:szCs w:val="22"/>
        </w:rPr>
        <w:t>Before the</w:t>
      </w:r>
    </w:p>
    <w:p w:rsidR="00DB5E0B" w14:paraId="63DDB7DB" w14:textId="77777777">
      <w:pPr>
        <w:pStyle w:val="Heading2"/>
        <w:widowControl/>
      </w:pPr>
      <w:r>
        <w:t>Federal Communications Commission</w:t>
      </w:r>
    </w:p>
    <w:p w:rsidR="00DB5E0B" w14:paraId="4BE3415F" w14:textId="77777777">
      <w:pPr>
        <w:pStyle w:val="Heading2"/>
        <w:widowControl/>
      </w:pPr>
      <w:r>
        <w:t>Washington, D.C. 20554</w:t>
      </w:r>
    </w:p>
    <w:p w:rsidR="00DB5E0B" w14:paraId="684FBA2B" w14:textId="77777777">
      <w:pPr>
        <w:tabs>
          <w:tab w:val="left" w:pos="4680"/>
        </w:tabs>
        <w:jc w:val="center"/>
        <w:rPr>
          <w:sz w:val="22"/>
          <w:szCs w:val="22"/>
        </w:rPr>
      </w:pPr>
    </w:p>
    <w:p w:rsidR="00DB5E0B" w:rsidP="00A0431C" w14:paraId="55A5E999" w14:textId="77777777">
      <w:pPr>
        <w:widowControl w:val="0"/>
        <w:pBdr>
          <w:top w:val="nil"/>
          <w:left w:val="nil"/>
          <w:bottom w:val="nil"/>
          <w:right w:val="nil"/>
          <w:between w:val="nil"/>
        </w:pBdr>
        <w:tabs>
          <w:tab w:val="left" w:pos="4680"/>
        </w:tabs>
        <w:jc w:val="both"/>
        <w:rPr>
          <w:color w:val="000000"/>
          <w:sz w:val="22"/>
          <w:szCs w:val="22"/>
        </w:rPr>
      </w:pPr>
    </w:p>
    <w:p w:rsidR="00DB5E0B" w:rsidP="00A0431C" w14:paraId="58FF7496" w14:textId="77777777">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394F96" w14:paraId="1489E69C" w14:textId="5DF6BDEB">
      <w:pPr>
        <w:tabs>
          <w:tab w:val="left" w:pos="4680"/>
          <w:tab w:val="left" w:pos="5760"/>
        </w:tabs>
        <w:rPr>
          <w:sz w:val="22"/>
          <w:szCs w:val="22"/>
        </w:rPr>
      </w:pPr>
      <w:r>
        <w:rPr>
          <w:sz w:val="22"/>
          <w:szCs w:val="22"/>
        </w:rPr>
        <w:tab/>
        <w:t>)</w:t>
      </w:r>
    </w:p>
    <w:p w:rsidR="00DB5E0B" w14:paraId="5B288ECF" w14:textId="62454F6C">
      <w:pPr>
        <w:tabs>
          <w:tab w:val="left" w:pos="4680"/>
          <w:tab w:val="left" w:pos="5760"/>
        </w:tabs>
        <w:rPr>
          <w:sz w:val="22"/>
          <w:szCs w:val="22"/>
        </w:rPr>
      </w:pPr>
      <w:r>
        <w:rPr>
          <w:sz w:val="22"/>
          <w:szCs w:val="22"/>
        </w:rPr>
        <w:t>Minority Communications</w:t>
      </w:r>
      <w:r w:rsidR="00467CDC">
        <w:rPr>
          <w:sz w:val="22"/>
          <w:szCs w:val="22"/>
        </w:rPr>
        <w:t xml:space="preserve"> Inc.</w:t>
      </w:r>
      <w:r w:rsidR="00637A21">
        <w:rPr>
          <w:sz w:val="22"/>
          <w:szCs w:val="22"/>
        </w:rPr>
        <w:tab/>
        <w:t>)</w:t>
      </w:r>
    </w:p>
    <w:p w:rsidR="00394F96" w14:paraId="552557EA" w14:textId="6FDD24F9">
      <w:pPr>
        <w:tabs>
          <w:tab w:val="left" w:pos="4680"/>
          <w:tab w:val="left" w:pos="5400"/>
        </w:tabs>
        <w:jc w:val="both"/>
        <w:rPr>
          <w:sz w:val="22"/>
          <w:szCs w:val="22"/>
        </w:rPr>
      </w:pPr>
      <w:r>
        <w:rPr>
          <w:sz w:val="22"/>
          <w:szCs w:val="22"/>
        </w:rPr>
        <w:tab/>
        <w:t>)</w:t>
      </w:r>
    </w:p>
    <w:p w:rsidR="00DB5E0B" w14:paraId="3DFB7FC1" w14:textId="021883F6">
      <w:pPr>
        <w:tabs>
          <w:tab w:val="left" w:pos="4680"/>
          <w:tab w:val="left" w:pos="5400"/>
        </w:tabs>
        <w:jc w:val="both"/>
        <w:rPr>
          <w:rFonts w:ascii="Courier New" w:eastAsia="Courier New" w:hAnsi="Courier New" w:cs="Courier New"/>
          <w:b/>
          <w:sz w:val="22"/>
          <w:szCs w:val="22"/>
        </w:rPr>
      </w:pPr>
      <w:r>
        <w:rPr>
          <w:sz w:val="22"/>
          <w:szCs w:val="22"/>
        </w:rPr>
        <w:t>Licensee of Station KJMC</w:t>
      </w:r>
      <w:r w:rsidR="00637A21">
        <w:rPr>
          <w:sz w:val="22"/>
          <w:szCs w:val="22"/>
        </w:rPr>
        <w:tab/>
        <w:t>)</w:t>
      </w:r>
      <w:r w:rsidRPr="00394F96" w:rsidR="00394F96">
        <w:rPr>
          <w:sz w:val="22"/>
          <w:szCs w:val="22"/>
        </w:rPr>
        <w:t xml:space="preserve"> </w:t>
      </w:r>
      <w:r w:rsidR="00394F96">
        <w:rPr>
          <w:sz w:val="22"/>
          <w:szCs w:val="22"/>
        </w:rPr>
        <w:tab/>
        <w:t xml:space="preserve">File No. </w:t>
      </w:r>
      <w:r w:rsidRPr="00A0431C" w:rsidR="00394F96">
        <w:rPr>
          <w:sz w:val="22"/>
          <w:szCs w:val="22"/>
        </w:rPr>
        <w:t>EB-FIEL</w:t>
      </w:r>
      <w:r w:rsidR="00793B95">
        <w:rPr>
          <w:sz w:val="22"/>
          <w:szCs w:val="22"/>
        </w:rPr>
        <w:t>D</w:t>
      </w:r>
      <w:r w:rsidR="00394F96">
        <w:rPr>
          <w:sz w:val="22"/>
          <w:szCs w:val="22"/>
        </w:rPr>
        <w:t>NER</w:t>
      </w:r>
      <w:r w:rsidRPr="00A0431C" w:rsidR="00394F96">
        <w:rPr>
          <w:sz w:val="22"/>
          <w:szCs w:val="22"/>
        </w:rPr>
        <w:t>-19-000</w:t>
      </w:r>
      <w:r w:rsidR="00394F96">
        <w:rPr>
          <w:sz w:val="22"/>
          <w:szCs w:val="22"/>
        </w:rPr>
        <w:t>29</w:t>
      </w:r>
      <w:r w:rsidR="00DE35DA">
        <w:rPr>
          <w:sz w:val="22"/>
          <w:szCs w:val="22"/>
        </w:rPr>
        <w:t>625</w:t>
      </w:r>
    </w:p>
    <w:p w:rsidR="00DB5E0B" w14:paraId="7460DFCF" w14:textId="6D12560B">
      <w:pPr>
        <w:tabs>
          <w:tab w:val="left" w:pos="4680"/>
          <w:tab w:val="left" w:pos="5400"/>
        </w:tabs>
        <w:jc w:val="both"/>
        <w:rPr>
          <w:sz w:val="22"/>
          <w:szCs w:val="22"/>
        </w:rPr>
      </w:pPr>
      <w:r>
        <w:rPr>
          <w:sz w:val="22"/>
          <w:szCs w:val="22"/>
        </w:rPr>
        <w:t>Facility ID:  43060</w:t>
      </w:r>
      <w:r w:rsidR="00637A21">
        <w:rPr>
          <w:sz w:val="22"/>
          <w:szCs w:val="22"/>
        </w:rPr>
        <w:tab/>
        <w:t>)</w:t>
      </w:r>
      <w:r w:rsidR="00637A21">
        <w:rPr>
          <w:sz w:val="22"/>
          <w:szCs w:val="22"/>
        </w:rPr>
        <w:tab/>
      </w:r>
    </w:p>
    <w:p w:rsidR="00DB5E0B" w14:paraId="710606E1" w14:textId="77777777">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DB5E0B" w14:paraId="0F42EC50" w14:textId="32BB6C62">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Des Moines, Iowa</w:t>
      </w:r>
      <w:r w:rsidR="00637A21">
        <w:rPr>
          <w:color w:val="FF0000"/>
          <w:sz w:val="22"/>
          <w:szCs w:val="22"/>
        </w:rPr>
        <w:tab/>
      </w:r>
      <w:r w:rsidR="00637A21">
        <w:rPr>
          <w:color w:val="000000"/>
          <w:sz w:val="22"/>
          <w:szCs w:val="22"/>
        </w:rPr>
        <w:t>)</w:t>
      </w:r>
    </w:p>
    <w:p w:rsidR="00DB5E0B" w14:paraId="1570753C" w14:textId="77777777">
      <w:pPr>
        <w:tabs>
          <w:tab w:val="center" w:pos="4680"/>
          <w:tab w:val="left" w:pos="5760"/>
        </w:tabs>
        <w:jc w:val="both"/>
        <w:rPr>
          <w:sz w:val="22"/>
          <w:szCs w:val="22"/>
        </w:rPr>
      </w:pPr>
    </w:p>
    <w:p w:rsidR="00DB5E0B" w14:paraId="164E2CCE" w14:textId="77777777">
      <w:pPr>
        <w:tabs>
          <w:tab w:val="center" w:pos="4680"/>
          <w:tab w:val="left" w:pos="5760"/>
        </w:tabs>
        <w:jc w:val="both"/>
        <w:rPr>
          <w:sz w:val="22"/>
          <w:szCs w:val="22"/>
        </w:rPr>
      </w:pPr>
    </w:p>
    <w:p w:rsidR="00DB5E0B" w14:paraId="5019A28B" w14:textId="77777777">
      <w:pPr>
        <w:pStyle w:val="Title"/>
        <w:tabs>
          <w:tab w:val="left" w:pos="5760"/>
        </w:tabs>
        <w:rPr>
          <w:sz w:val="22"/>
          <w:szCs w:val="22"/>
        </w:rPr>
      </w:pPr>
      <w:r>
        <w:rPr>
          <w:sz w:val="22"/>
          <w:szCs w:val="22"/>
        </w:rPr>
        <w:t>NOTICE OF VIOLATION</w:t>
      </w:r>
    </w:p>
    <w:p w:rsidR="00DB5E0B" w14:paraId="027D81D2" w14:textId="77777777">
      <w:pPr>
        <w:tabs>
          <w:tab w:val="left" w:pos="6480"/>
        </w:tabs>
        <w:rPr>
          <w:b/>
          <w:sz w:val="22"/>
          <w:szCs w:val="22"/>
        </w:rPr>
      </w:pPr>
    </w:p>
    <w:p w:rsidR="00DB5E0B" w14:paraId="23EA082B" w14:textId="77777777">
      <w:pPr>
        <w:pStyle w:val="Subtitle"/>
        <w:jc w:val="left"/>
      </w:pPr>
      <w:r>
        <w:tab/>
      </w:r>
    </w:p>
    <w:p w:rsidR="00DB5E0B" w14:paraId="644819E9" w14:textId="5D722B0B">
      <w:pPr>
        <w:pStyle w:val="Subtitle"/>
        <w:tabs>
          <w:tab w:val="left" w:pos="6300"/>
        </w:tabs>
        <w:jc w:val="left"/>
      </w:pPr>
      <w:r>
        <w:tab/>
        <w:t xml:space="preserve">Released: </w:t>
      </w:r>
      <w:r w:rsidR="00664864">
        <w:t xml:space="preserve"> September 2</w:t>
      </w:r>
      <w:r w:rsidR="00664864">
        <w:t>6</w:t>
      </w:r>
      <w:r w:rsidR="00664864">
        <w:t>, 2019</w:t>
      </w:r>
    </w:p>
    <w:p w:rsidR="00DB5E0B" w14:paraId="3D16EAA5" w14:textId="77777777">
      <w:pPr>
        <w:tabs>
          <w:tab w:val="left" w:pos="5760"/>
        </w:tabs>
        <w:rPr>
          <w:sz w:val="22"/>
          <w:szCs w:val="22"/>
        </w:rPr>
      </w:pPr>
    </w:p>
    <w:p w:rsidR="00DB5E0B" w14:paraId="33347E1B" w14:textId="2D313D08">
      <w:pPr>
        <w:rPr>
          <w:sz w:val="22"/>
          <w:szCs w:val="22"/>
        </w:rPr>
      </w:pPr>
      <w:r>
        <w:rPr>
          <w:sz w:val="22"/>
          <w:szCs w:val="22"/>
        </w:rPr>
        <w:t xml:space="preserve">By the Regional Director, Region </w:t>
      </w:r>
      <w:r w:rsidR="00770E7E">
        <w:rPr>
          <w:sz w:val="22"/>
          <w:szCs w:val="22"/>
        </w:rPr>
        <w:t>One</w:t>
      </w:r>
      <w:r>
        <w:rPr>
          <w:sz w:val="22"/>
          <w:szCs w:val="22"/>
        </w:rPr>
        <w:t>, Enforcement Bureau:</w:t>
      </w:r>
    </w:p>
    <w:p w:rsidR="00DB5E0B" w14:paraId="7FD69431" w14:textId="77777777">
      <w:pPr>
        <w:widowControl w:val="0"/>
        <w:pBdr>
          <w:top w:val="nil"/>
          <w:left w:val="nil"/>
          <w:bottom w:val="nil"/>
          <w:right w:val="nil"/>
          <w:between w:val="nil"/>
        </w:pBdr>
        <w:rPr>
          <w:color w:val="000000"/>
          <w:sz w:val="22"/>
          <w:szCs w:val="22"/>
        </w:rPr>
      </w:pPr>
    </w:p>
    <w:p w:rsidR="00DB5E0B" w14:paraId="66001974" w14:textId="77777777">
      <w:pPr>
        <w:widowControl w:val="0"/>
        <w:pBdr>
          <w:top w:val="nil"/>
          <w:left w:val="nil"/>
          <w:bottom w:val="nil"/>
          <w:right w:val="nil"/>
          <w:between w:val="nil"/>
        </w:pBdr>
        <w:rPr>
          <w:color w:val="000000"/>
          <w:sz w:val="22"/>
          <w:szCs w:val="22"/>
        </w:rPr>
      </w:pPr>
    </w:p>
    <w:p w:rsidR="00DB5E0B" w14:paraId="2CDD6882" w14:textId="49A66B3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This is a Notice of Violation (Notice) issued pursuant to </w:t>
      </w:r>
      <w:r w:rsidR="00C321C5">
        <w:rPr>
          <w:color w:val="000000"/>
          <w:sz w:val="22"/>
          <w:szCs w:val="22"/>
        </w:rPr>
        <w:t>s</w:t>
      </w:r>
      <w:r>
        <w:rPr>
          <w:color w:val="000000"/>
          <w:sz w:val="22"/>
          <w:szCs w:val="22"/>
        </w:rPr>
        <w:t>ection 1.89 of the Commission’s rules (Rules),</w:t>
      </w:r>
      <w:r>
        <w:rPr>
          <w:color w:val="000000"/>
          <w:sz w:val="22"/>
          <w:szCs w:val="22"/>
          <w:vertAlign w:val="superscript"/>
        </w:rPr>
        <w:footnoteReference w:id="2"/>
      </w:r>
      <w:r>
        <w:rPr>
          <w:color w:val="000000"/>
          <w:sz w:val="22"/>
          <w:szCs w:val="22"/>
        </w:rPr>
        <w:t xml:space="preserve"> to </w:t>
      </w:r>
      <w:r w:rsidR="001B0A2D">
        <w:rPr>
          <w:sz w:val="22"/>
          <w:szCs w:val="22"/>
        </w:rPr>
        <w:t>Minority Communications</w:t>
      </w:r>
      <w:r w:rsidR="009B31D5">
        <w:rPr>
          <w:sz w:val="22"/>
          <w:szCs w:val="22"/>
        </w:rPr>
        <w:t xml:space="preserve"> Inc., </w:t>
      </w:r>
      <w:r w:rsidR="0061549A">
        <w:rPr>
          <w:sz w:val="22"/>
          <w:szCs w:val="22"/>
        </w:rPr>
        <w:t xml:space="preserve">licensee </w:t>
      </w:r>
      <w:r w:rsidR="001B0A2D">
        <w:rPr>
          <w:sz w:val="22"/>
          <w:szCs w:val="22"/>
        </w:rPr>
        <w:t xml:space="preserve">of </w:t>
      </w:r>
      <w:r w:rsidR="0061549A">
        <w:rPr>
          <w:sz w:val="22"/>
          <w:szCs w:val="22"/>
        </w:rPr>
        <w:t xml:space="preserve">FM </w:t>
      </w:r>
      <w:r w:rsidR="001B0A2D">
        <w:rPr>
          <w:sz w:val="22"/>
          <w:szCs w:val="22"/>
        </w:rPr>
        <w:t xml:space="preserve">station KJMC in Des Moines, Iowa. </w:t>
      </w:r>
      <w:r w:rsidR="0061549A">
        <w:rPr>
          <w:sz w:val="22"/>
          <w:szCs w:val="22"/>
        </w:rPr>
        <w:t xml:space="preserve"> </w:t>
      </w:r>
      <w:r>
        <w:rPr>
          <w:color w:val="000000"/>
          <w:sz w:val="22"/>
          <w:szCs w:val="22"/>
        </w:rPr>
        <w:t xml:space="preserve">Pursuant to </w:t>
      </w:r>
      <w:r w:rsidR="00C321C5">
        <w:rPr>
          <w:color w:val="000000"/>
          <w:sz w:val="22"/>
          <w:szCs w:val="22"/>
        </w:rPr>
        <w:t>s</w:t>
      </w:r>
      <w:r>
        <w:rPr>
          <w:color w:val="000000"/>
          <w:sz w:val="22"/>
          <w:szCs w:val="22"/>
        </w:rPr>
        <w:t>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DB5E0B" w14:paraId="44FF163F" w14:textId="77777777">
      <w:pPr>
        <w:rPr>
          <w:color w:val="000000"/>
          <w:sz w:val="22"/>
          <w:szCs w:val="22"/>
        </w:rPr>
      </w:pPr>
    </w:p>
    <w:p w:rsidR="00DB5E0B" w14:paraId="0905529F" w14:textId="24D4498C">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On</w:t>
      </w:r>
      <w:r w:rsidR="00A53015">
        <w:rPr>
          <w:color w:val="000000"/>
          <w:sz w:val="22"/>
          <w:szCs w:val="22"/>
        </w:rPr>
        <w:t xml:space="preserve"> </w:t>
      </w:r>
      <w:r w:rsidR="00A53015">
        <w:rPr>
          <w:sz w:val="22"/>
          <w:szCs w:val="22"/>
        </w:rPr>
        <w:t>August 15, 2019</w:t>
      </w:r>
      <w:r>
        <w:rPr>
          <w:color w:val="000000"/>
          <w:sz w:val="22"/>
          <w:szCs w:val="22"/>
        </w:rPr>
        <w:t xml:space="preserve">, </w:t>
      </w:r>
      <w:r w:rsidR="00B73903">
        <w:rPr>
          <w:color w:val="000000"/>
          <w:sz w:val="22"/>
          <w:szCs w:val="22"/>
        </w:rPr>
        <w:t xml:space="preserve">an </w:t>
      </w:r>
      <w:r w:rsidR="004349B3">
        <w:rPr>
          <w:color w:val="000000"/>
          <w:sz w:val="22"/>
          <w:szCs w:val="22"/>
        </w:rPr>
        <w:t>A</w:t>
      </w:r>
      <w:r w:rsidR="00B73903">
        <w:rPr>
          <w:color w:val="000000"/>
          <w:sz w:val="22"/>
          <w:szCs w:val="22"/>
        </w:rPr>
        <w:t>gent</w:t>
      </w:r>
      <w:r>
        <w:rPr>
          <w:color w:val="000000"/>
          <w:sz w:val="22"/>
          <w:szCs w:val="22"/>
        </w:rPr>
        <w:t xml:space="preserve"> of the Enforcement Bureau’s </w:t>
      </w:r>
      <w:r w:rsidR="00215F3A">
        <w:rPr>
          <w:sz w:val="22"/>
          <w:szCs w:val="22"/>
        </w:rPr>
        <w:t>Chicago</w:t>
      </w:r>
      <w:r>
        <w:rPr>
          <w:color w:val="000000"/>
          <w:sz w:val="22"/>
          <w:szCs w:val="22"/>
        </w:rPr>
        <w:t xml:space="preserve"> Office in</w:t>
      </w:r>
      <w:r w:rsidR="00462F5D">
        <w:rPr>
          <w:color w:val="000000"/>
          <w:sz w:val="22"/>
          <w:szCs w:val="22"/>
        </w:rPr>
        <w:t xml:space="preserve">spected FM Station KJMC and </w:t>
      </w:r>
      <w:r w:rsidR="00E035BF">
        <w:rPr>
          <w:color w:val="000000"/>
          <w:sz w:val="22"/>
          <w:szCs w:val="22"/>
        </w:rPr>
        <w:t>found the following violation</w:t>
      </w:r>
      <w:r w:rsidR="0078474A">
        <w:rPr>
          <w:color w:val="000000"/>
          <w:sz w:val="22"/>
          <w:szCs w:val="22"/>
        </w:rPr>
        <w:t>s</w:t>
      </w:r>
      <w:r>
        <w:rPr>
          <w:color w:val="000000"/>
          <w:sz w:val="22"/>
          <w:szCs w:val="22"/>
        </w:rPr>
        <w:t>:</w:t>
      </w:r>
    </w:p>
    <w:p w:rsidR="009B31D5" w:rsidP="009B31D5" w14:paraId="02F0B371" w14:textId="77777777">
      <w:pPr>
        <w:pStyle w:val="ListParagraph"/>
        <w:rPr>
          <w:color w:val="000000"/>
          <w:sz w:val="22"/>
          <w:szCs w:val="22"/>
        </w:rPr>
      </w:pPr>
    </w:p>
    <w:p w:rsidR="00EF5DA0" w:rsidP="00EF5DA0" w14:paraId="092CBE46" w14:textId="26EF868B">
      <w:pPr>
        <w:pStyle w:val="ListParagraph"/>
        <w:numPr>
          <w:ilvl w:val="1"/>
          <w:numId w:val="3"/>
        </w:numPr>
        <w:tabs>
          <w:tab w:val="clear" w:pos="2520"/>
          <w:tab w:val="num" w:pos="2610"/>
        </w:tabs>
        <w:ind w:left="1440" w:right="540" w:hanging="720"/>
        <w:rPr>
          <w:sz w:val="22"/>
          <w:szCs w:val="22"/>
        </w:rPr>
      </w:pPr>
      <w:r w:rsidRPr="001278F0">
        <w:rPr>
          <w:bCs/>
          <w:color w:val="000000"/>
          <w:sz w:val="22"/>
          <w:szCs w:val="22"/>
        </w:rPr>
        <w:t xml:space="preserve">47 CFR § </w:t>
      </w:r>
      <w:r w:rsidRPr="001278F0" w:rsidR="00465D97">
        <w:rPr>
          <w:sz w:val="22"/>
          <w:szCs w:val="22"/>
        </w:rPr>
        <w:t xml:space="preserve">11.52(d)(1): “With respect to monitoring for EAS messages that are formatted in accordance with the EAS Protocol, EAS Participants must monitor two </w:t>
      </w:r>
      <w:r w:rsidR="004B4A5C">
        <w:rPr>
          <w:sz w:val="22"/>
          <w:szCs w:val="22"/>
        </w:rPr>
        <w:t xml:space="preserve">EAS </w:t>
      </w:r>
      <w:r w:rsidRPr="001278F0" w:rsidR="00465D97">
        <w:rPr>
          <w:sz w:val="22"/>
          <w:szCs w:val="22"/>
        </w:rPr>
        <w:t xml:space="preserve">sources. </w:t>
      </w:r>
      <w:r w:rsidR="0061549A">
        <w:rPr>
          <w:sz w:val="22"/>
          <w:szCs w:val="22"/>
        </w:rPr>
        <w:t xml:space="preserve"> </w:t>
      </w:r>
      <w:r w:rsidRPr="001278F0" w:rsidR="00465D97">
        <w:rPr>
          <w:sz w:val="22"/>
          <w:szCs w:val="22"/>
        </w:rPr>
        <w:t xml:space="preserve">The monitoring assignments of each broadcast station and cable system and wireless cable system are specified in the State EAS Plan and FCC Mapbook. </w:t>
      </w:r>
      <w:r w:rsidR="0061549A">
        <w:rPr>
          <w:sz w:val="22"/>
          <w:szCs w:val="22"/>
        </w:rPr>
        <w:t xml:space="preserve"> </w:t>
      </w:r>
      <w:r w:rsidRPr="001278F0" w:rsidR="00465D97">
        <w:rPr>
          <w:sz w:val="22"/>
          <w:szCs w:val="22"/>
        </w:rPr>
        <w:t xml:space="preserve">They are developed in accordance with FCC monitoring priorities.” </w:t>
      </w:r>
      <w:r w:rsidRPr="004871CF" w:rsidR="00465D97">
        <w:rPr>
          <w:sz w:val="22"/>
          <w:szCs w:val="22"/>
        </w:rPr>
        <w:t>According to the Iowa Statewide Emergency Alert System Plan</w:t>
      </w:r>
      <w:r w:rsidRPr="004871CF" w:rsidR="004349B3">
        <w:rPr>
          <w:sz w:val="22"/>
          <w:szCs w:val="22"/>
        </w:rPr>
        <w:t xml:space="preserve"> (revised August 2016),</w:t>
      </w:r>
      <w:r w:rsidRPr="004871CF" w:rsidR="00465D97">
        <w:rPr>
          <w:sz w:val="22"/>
          <w:szCs w:val="22"/>
        </w:rPr>
        <w:t xml:space="preserve"> the L</w:t>
      </w:r>
      <w:r w:rsidRPr="004871CF" w:rsidR="0061549A">
        <w:rPr>
          <w:sz w:val="22"/>
          <w:szCs w:val="22"/>
        </w:rPr>
        <w:t>ocal Primary 1 (L</w:t>
      </w:r>
      <w:r w:rsidRPr="004871CF" w:rsidR="00465D97">
        <w:rPr>
          <w:sz w:val="22"/>
          <w:szCs w:val="22"/>
        </w:rPr>
        <w:t>P</w:t>
      </w:r>
      <w:r w:rsidRPr="004871CF" w:rsidR="00D02269">
        <w:rPr>
          <w:sz w:val="22"/>
          <w:szCs w:val="22"/>
        </w:rPr>
        <w:t>-</w:t>
      </w:r>
      <w:r w:rsidRPr="004871CF" w:rsidR="00465D97">
        <w:rPr>
          <w:sz w:val="22"/>
          <w:szCs w:val="22"/>
        </w:rPr>
        <w:t>1</w:t>
      </w:r>
      <w:r w:rsidRPr="004871CF" w:rsidR="0061549A">
        <w:rPr>
          <w:sz w:val="22"/>
          <w:szCs w:val="22"/>
        </w:rPr>
        <w:t>)</w:t>
      </w:r>
      <w:r w:rsidRPr="004871CF" w:rsidR="00465D97">
        <w:rPr>
          <w:sz w:val="22"/>
          <w:szCs w:val="22"/>
        </w:rPr>
        <w:t xml:space="preserve"> sources in the Des Moines Metro Operational Area are WHO-AM (1040 kHz) and KDRB-FM (100.3 MHz). </w:t>
      </w:r>
      <w:r w:rsidRPr="004871CF" w:rsidR="0061549A">
        <w:rPr>
          <w:sz w:val="22"/>
          <w:szCs w:val="22"/>
        </w:rPr>
        <w:t xml:space="preserve"> </w:t>
      </w:r>
      <w:r w:rsidRPr="004871CF" w:rsidR="00465D97">
        <w:rPr>
          <w:sz w:val="22"/>
          <w:szCs w:val="22"/>
        </w:rPr>
        <w:t xml:space="preserve">The </w:t>
      </w:r>
      <w:r w:rsidRPr="004871CF" w:rsidR="0061549A">
        <w:rPr>
          <w:sz w:val="22"/>
          <w:szCs w:val="22"/>
        </w:rPr>
        <w:t>Local Primary 2 (</w:t>
      </w:r>
      <w:r w:rsidRPr="004871CF" w:rsidR="00465D97">
        <w:rPr>
          <w:sz w:val="22"/>
          <w:szCs w:val="22"/>
        </w:rPr>
        <w:t>LP</w:t>
      </w:r>
      <w:r w:rsidRPr="004871CF" w:rsidR="00D02269">
        <w:rPr>
          <w:sz w:val="22"/>
          <w:szCs w:val="22"/>
        </w:rPr>
        <w:t>-</w:t>
      </w:r>
      <w:r w:rsidRPr="004871CF" w:rsidR="00465D97">
        <w:rPr>
          <w:sz w:val="22"/>
          <w:szCs w:val="22"/>
        </w:rPr>
        <w:t>2</w:t>
      </w:r>
      <w:r w:rsidRPr="004871CF" w:rsidR="0061549A">
        <w:rPr>
          <w:sz w:val="22"/>
          <w:szCs w:val="22"/>
        </w:rPr>
        <w:t>)</w:t>
      </w:r>
      <w:r w:rsidRPr="004871CF" w:rsidR="00465D97">
        <w:rPr>
          <w:sz w:val="22"/>
          <w:szCs w:val="22"/>
        </w:rPr>
        <w:t xml:space="preserve"> source is WOI-FM (90.1 MHz).   During the inspection conducted on August 15, 2019, the Agent noted that </w:t>
      </w:r>
      <w:r w:rsidRPr="004871CF" w:rsidR="0061549A">
        <w:rPr>
          <w:sz w:val="22"/>
          <w:szCs w:val="22"/>
        </w:rPr>
        <w:t xml:space="preserve">the Emergency Alert System equipment for Station </w:t>
      </w:r>
      <w:r w:rsidRPr="004871CF" w:rsidR="00465D97">
        <w:rPr>
          <w:sz w:val="22"/>
          <w:szCs w:val="22"/>
        </w:rPr>
        <w:t xml:space="preserve">KJMC was </w:t>
      </w:r>
      <w:r w:rsidRPr="004871CF" w:rsidR="0061549A">
        <w:rPr>
          <w:sz w:val="22"/>
          <w:szCs w:val="22"/>
        </w:rPr>
        <w:t xml:space="preserve">configured to </w:t>
      </w:r>
      <w:r w:rsidRPr="004871CF" w:rsidR="00465D97">
        <w:rPr>
          <w:sz w:val="22"/>
          <w:szCs w:val="22"/>
        </w:rPr>
        <w:t>only monitor WHO-AM.</w:t>
      </w:r>
    </w:p>
    <w:p w:rsidR="009B31D5" w:rsidRPr="004871CF" w:rsidP="00EF5DA0" w14:paraId="5CAB1AB1" w14:textId="40DE7227">
      <w:pPr>
        <w:pStyle w:val="ListParagraph"/>
        <w:numPr>
          <w:ilvl w:val="1"/>
          <w:numId w:val="3"/>
        </w:numPr>
        <w:tabs>
          <w:tab w:val="clear" w:pos="2520"/>
          <w:tab w:val="num" w:pos="2610"/>
        </w:tabs>
        <w:ind w:left="1440" w:right="540" w:hanging="720"/>
        <w:rPr>
          <w:sz w:val="22"/>
          <w:szCs w:val="22"/>
        </w:rPr>
      </w:pPr>
      <w:r w:rsidRPr="00EF5DA0">
        <w:rPr>
          <w:bCs/>
          <w:color w:val="000000"/>
          <w:sz w:val="22"/>
          <w:szCs w:val="22"/>
        </w:rPr>
        <w:t xml:space="preserve">47 CFR § </w:t>
      </w:r>
      <w:r w:rsidRPr="00EF5DA0" w:rsidR="001278F0">
        <w:rPr>
          <w:sz w:val="22"/>
          <w:szCs w:val="22"/>
        </w:rPr>
        <w:t xml:space="preserve">11.52(d)(2):  “Emergency Alert System (EAS) participants must comply with the following monitoring requirement: </w:t>
      </w:r>
      <w:r w:rsidR="00DF0924">
        <w:rPr>
          <w:sz w:val="22"/>
          <w:szCs w:val="22"/>
        </w:rPr>
        <w:t>…</w:t>
      </w:r>
      <w:r w:rsidRPr="00EF5DA0" w:rsidR="001278F0">
        <w:rPr>
          <w:sz w:val="22"/>
          <w:szCs w:val="22"/>
        </w:rPr>
        <w:t xml:space="preserve">With respect to monitoring EAS messages formatted in accordance with the specifications set forth in § 11.56(a)(2), EAS Participants’ EAS equipment must interface with the Federal Emergency Management Agency’s Integrated Public Alert and Warning System (IPAWS) to enable… the distribution of Common Alert Protocol (CAP)-formatted alert messages from the IPAWS system to EAS Participants’ EAS equipment.”  </w:t>
      </w:r>
      <w:r w:rsidRPr="004871CF" w:rsidR="001278F0">
        <w:rPr>
          <w:sz w:val="22"/>
          <w:szCs w:val="22"/>
        </w:rPr>
        <w:t>At the time of the inspection the EAS unit installed at the station had not been updated to comply with the requirements for the Common Alert Protocol.</w:t>
      </w:r>
    </w:p>
    <w:p w:rsidR="0061549A" w:rsidRPr="001278F0" w:rsidP="004349B3" w14:paraId="06EF27FD" w14:textId="77777777">
      <w:pPr>
        <w:pStyle w:val="ListParagraph"/>
        <w:ind w:left="1440" w:right="540"/>
        <w:rPr>
          <w:bCs/>
          <w:color w:val="000000"/>
          <w:sz w:val="22"/>
          <w:szCs w:val="22"/>
        </w:rPr>
      </w:pPr>
    </w:p>
    <w:p w:rsidR="00EF5DA0" w:rsidP="002F0831" w14:paraId="7664079A" w14:textId="1E889170">
      <w:pPr>
        <w:pStyle w:val="ListParagraph"/>
        <w:numPr>
          <w:ilvl w:val="1"/>
          <w:numId w:val="3"/>
        </w:numPr>
        <w:tabs>
          <w:tab w:val="clear" w:pos="2520"/>
          <w:tab w:val="num" w:pos="2610"/>
        </w:tabs>
        <w:ind w:left="1440" w:right="540" w:hanging="720"/>
        <w:rPr>
          <w:sz w:val="22"/>
          <w:szCs w:val="22"/>
        </w:rPr>
      </w:pPr>
      <w:r w:rsidRPr="001278F0">
        <w:rPr>
          <w:sz w:val="22"/>
          <w:szCs w:val="22"/>
        </w:rPr>
        <w:t xml:space="preserve">47 C.F.R. § </w:t>
      </w:r>
      <w:bookmarkStart w:id="0" w:name="_gjdgxs" w:colFirst="0" w:colLast="0"/>
      <w:bookmarkEnd w:id="0"/>
      <w:r w:rsidRPr="001278F0" w:rsidR="001278F0">
        <w:rPr>
          <w:sz w:val="22"/>
          <w:szCs w:val="22"/>
        </w:rPr>
        <w:t>11.35(a): “</w:t>
      </w:r>
      <w:r w:rsidRPr="00DF0924" w:rsidR="00DF0924">
        <w:rPr>
          <w:sz w:val="22"/>
          <w:szCs w:val="22"/>
        </w:rPr>
        <w:t xml:space="preserve">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w:t>
      </w:r>
      <w:r w:rsidRPr="001278F0" w:rsidR="001278F0">
        <w:rPr>
          <w:sz w:val="22"/>
          <w:szCs w:val="22"/>
        </w:rPr>
        <w:t xml:space="preserve">EAS Participants must determine the cause of any failure to receive the required tests or activations specified in Sections 11.61(a)(1) and (a)(2).  Appropriate entries indicating reasons why any tests were not received must be made in the broadcast station log as specified in Sections 73.1820 and 73.1840 of this chapter for all broadcast streams…. ”  </w:t>
      </w:r>
      <w:r w:rsidRPr="004871CF" w:rsidR="001278F0">
        <w:rPr>
          <w:sz w:val="22"/>
          <w:szCs w:val="22"/>
        </w:rPr>
        <w:t>At the time of inspection</w:t>
      </w:r>
      <w:r w:rsidR="004871CF">
        <w:rPr>
          <w:sz w:val="22"/>
          <w:szCs w:val="22"/>
        </w:rPr>
        <w:t>,</w:t>
      </w:r>
      <w:r w:rsidRPr="004871CF" w:rsidR="001278F0">
        <w:rPr>
          <w:sz w:val="22"/>
          <w:szCs w:val="22"/>
        </w:rPr>
        <w:t xml:space="preserve"> </w:t>
      </w:r>
      <w:r w:rsidR="004871CF">
        <w:rPr>
          <w:sz w:val="22"/>
          <w:szCs w:val="22"/>
        </w:rPr>
        <w:t>t</w:t>
      </w:r>
      <w:r w:rsidRPr="004871CF" w:rsidR="001278F0">
        <w:rPr>
          <w:sz w:val="22"/>
          <w:szCs w:val="22"/>
        </w:rPr>
        <w:t xml:space="preserve">here were no entries for the period </w:t>
      </w:r>
      <w:r w:rsidRPr="004871CF">
        <w:rPr>
          <w:sz w:val="22"/>
          <w:szCs w:val="22"/>
        </w:rPr>
        <w:t xml:space="preserve">between May 28, 2019 and August 15, 2019.  </w:t>
      </w:r>
      <w:r w:rsidRPr="004871CF" w:rsidR="001278F0">
        <w:rPr>
          <w:sz w:val="22"/>
          <w:szCs w:val="22"/>
        </w:rPr>
        <w:t xml:space="preserve">There were no entries in the station’s logs indicating why KJMC did not receive any tests or activations between </w:t>
      </w:r>
      <w:r w:rsidRPr="004871CF">
        <w:rPr>
          <w:sz w:val="22"/>
          <w:szCs w:val="22"/>
        </w:rPr>
        <w:t>those dates.</w:t>
      </w:r>
      <w:r>
        <w:rPr>
          <w:sz w:val="22"/>
          <w:szCs w:val="22"/>
        </w:rPr>
        <w:t xml:space="preserve">  </w:t>
      </w:r>
    </w:p>
    <w:p w:rsidR="00DB5E0B" w:rsidRPr="001278F0" w:rsidP="00EF5DA0" w14:paraId="6D169141" w14:textId="234A59CE">
      <w:pPr>
        <w:pStyle w:val="ListParagraph"/>
        <w:ind w:left="1440" w:right="540"/>
        <w:rPr>
          <w:sz w:val="22"/>
          <w:szCs w:val="22"/>
        </w:rPr>
      </w:pPr>
      <w:r w:rsidRPr="001278F0">
        <w:rPr>
          <w:sz w:val="22"/>
          <w:szCs w:val="22"/>
        </w:rPr>
        <w:t xml:space="preserve">   </w:t>
      </w:r>
    </w:p>
    <w:p w:rsidR="00EF5DA0" w:rsidP="002F0831" w14:paraId="1710EC78" w14:textId="7BA1EA4F">
      <w:pPr>
        <w:pStyle w:val="ListParagraph"/>
        <w:numPr>
          <w:ilvl w:val="1"/>
          <w:numId w:val="3"/>
        </w:numPr>
        <w:tabs>
          <w:tab w:val="clear" w:pos="2520"/>
          <w:tab w:val="num" w:pos="2610"/>
        </w:tabs>
        <w:ind w:left="1440" w:right="540" w:hanging="720"/>
        <w:rPr>
          <w:sz w:val="22"/>
          <w:szCs w:val="22"/>
        </w:rPr>
      </w:pPr>
      <w:r w:rsidRPr="001278F0">
        <w:rPr>
          <w:sz w:val="22"/>
          <w:szCs w:val="22"/>
        </w:rPr>
        <w:t xml:space="preserve">47 C.F.R. § 74.532(e):  “Each aural broadcast auxiliary station will be licensed at a specified transmitter location to communicate with a specified receiving location, and the direction of the main radiation lobe of the transmitting antenna will be a term of the station authorization.”  </w:t>
      </w:r>
      <w:r w:rsidRPr="006B5BA0">
        <w:rPr>
          <w:sz w:val="22"/>
          <w:szCs w:val="22"/>
        </w:rPr>
        <w:t>At the time of inspection</w:t>
      </w:r>
      <w:r w:rsidRPr="006B5BA0">
        <w:rPr>
          <w:sz w:val="22"/>
          <w:szCs w:val="22"/>
        </w:rPr>
        <w:t>, Minority Communications</w:t>
      </w:r>
      <w:r w:rsidRPr="006B5BA0" w:rsidR="004349B3">
        <w:rPr>
          <w:sz w:val="22"/>
          <w:szCs w:val="22"/>
        </w:rPr>
        <w:t xml:space="preserve"> Inc.</w:t>
      </w:r>
      <w:r w:rsidRPr="006B5BA0">
        <w:rPr>
          <w:sz w:val="22"/>
          <w:szCs w:val="22"/>
        </w:rPr>
        <w:t xml:space="preserve"> did not have authorization from the Commission to operate the Aural Studio Transmitter Link (STL) </w:t>
      </w:r>
      <w:r w:rsidRPr="006B5BA0" w:rsidR="004349B3">
        <w:rPr>
          <w:sz w:val="22"/>
          <w:szCs w:val="22"/>
        </w:rPr>
        <w:t xml:space="preserve">for Station KJMC </w:t>
      </w:r>
      <w:r w:rsidRPr="006B5BA0">
        <w:rPr>
          <w:sz w:val="22"/>
          <w:szCs w:val="22"/>
        </w:rPr>
        <w:t xml:space="preserve">on </w:t>
      </w:r>
      <w:r w:rsidRPr="006B5BA0">
        <w:rPr>
          <w:sz w:val="22"/>
          <w:szCs w:val="22"/>
        </w:rPr>
        <w:t>the frequency</w:t>
      </w:r>
      <w:r w:rsidRPr="006B5BA0" w:rsidR="00DF0924">
        <w:rPr>
          <w:sz w:val="22"/>
          <w:szCs w:val="22"/>
        </w:rPr>
        <w:t> </w:t>
      </w:r>
      <w:r w:rsidRPr="006B5BA0">
        <w:rPr>
          <w:sz w:val="22"/>
          <w:szCs w:val="22"/>
        </w:rPr>
        <w:t xml:space="preserve">949.00 MHz between the </w:t>
      </w:r>
      <w:r w:rsidRPr="006B5BA0">
        <w:rPr>
          <w:sz w:val="22"/>
          <w:szCs w:val="22"/>
        </w:rPr>
        <w:t xml:space="preserve">KJMC </w:t>
      </w:r>
      <w:r w:rsidRPr="006B5BA0">
        <w:rPr>
          <w:sz w:val="22"/>
          <w:szCs w:val="22"/>
        </w:rPr>
        <w:t>studio at 1169 25th Street</w:t>
      </w:r>
      <w:r w:rsidRPr="006B5BA0">
        <w:rPr>
          <w:sz w:val="22"/>
          <w:szCs w:val="22"/>
        </w:rPr>
        <w:t>, Des Moines, Iowa</w:t>
      </w:r>
      <w:r w:rsidRPr="006B5BA0">
        <w:rPr>
          <w:sz w:val="22"/>
          <w:szCs w:val="22"/>
        </w:rPr>
        <w:t xml:space="preserve"> and the transmitter </w:t>
      </w:r>
      <w:r w:rsidRPr="006B5BA0" w:rsidR="004349B3">
        <w:rPr>
          <w:sz w:val="22"/>
          <w:szCs w:val="22"/>
        </w:rPr>
        <w:t xml:space="preserve">site </w:t>
      </w:r>
      <w:r w:rsidRPr="006B5BA0">
        <w:rPr>
          <w:sz w:val="22"/>
          <w:szCs w:val="22"/>
        </w:rPr>
        <w:t>at 1563 NE 53rd Avenue</w:t>
      </w:r>
      <w:r w:rsidRPr="006B5BA0">
        <w:rPr>
          <w:sz w:val="22"/>
          <w:szCs w:val="22"/>
        </w:rPr>
        <w:t>, Des Moines, Iowa</w:t>
      </w:r>
      <w:r>
        <w:rPr>
          <w:sz w:val="22"/>
          <w:szCs w:val="22"/>
        </w:rPr>
        <w:t>.</w:t>
      </w:r>
    </w:p>
    <w:p w:rsidR="001278F0" w:rsidRPr="004349B3" w:rsidP="004349B3" w14:paraId="41673C5D" w14:textId="0323FF97">
      <w:pPr>
        <w:ind w:right="540"/>
        <w:rPr>
          <w:sz w:val="22"/>
          <w:szCs w:val="22"/>
        </w:rPr>
      </w:pPr>
      <w:r w:rsidRPr="004349B3">
        <w:rPr>
          <w:sz w:val="22"/>
          <w:szCs w:val="22"/>
        </w:rPr>
        <w:t xml:space="preserve">  </w:t>
      </w:r>
    </w:p>
    <w:p w:rsidR="001278F0" w:rsidP="002F0831" w14:paraId="24A06AB2" w14:textId="5E58710A">
      <w:pPr>
        <w:pStyle w:val="ListParagraph"/>
        <w:numPr>
          <w:ilvl w:val="1"/>
          <w:numId w:val="3"/>
        </w:numPr>
        <w:tabs>
          <w:tab w:val="clear" w:pos="2520"/>
          <w:tab w:val="num" w:pos="2610"/>
        </w:tabs>
        <w:ind w:left="1440" w:right="540" w:hanging="720"/>
        <w:rPr>
          <w:sz w:val="22"/>
          <w:szCs w:val="22"/>
        </w:rPr>
      </w:pPr>
      <w:r w:rsidRPr="001278F0">
        <w:rPr>
          <w:sz w:val="22"/>
          <w:szCs w:val="22"/>
        </w:rPr>
        <w:t>47 C.F.R. § 73.1350(b)(2): “The transmitter control personnel must have the capability to turn the transmitter off at all times.</w:t>
      </w:r>
      <w:r w:rsidR="009C6B59">
        <w:rPr>
          <w:sz w:val="22"/>
          <w:szCs w:val="22"/>
        </w:rPr>
        <w:t xml:space="preserve"> </w:t>
      </w:r>
      <w:r w:rsidRPr="001278F0">
        <w:rPr>
          <w:sz w:val="22"/>
          <w:szCs w:val="22"/>
        </w:rPr>
        <w:t xml:space="preserve"> If the personnel are at a remote location, the control system must provide this capability continuously or must include an alternate method of acquiring control that can satisfy the requirement of paragraph (e) of this section that operation be terminated within three minutes.”  At </w:t>
      </w:r>
      <w:bookmarkStart w:id="1" w:name="_GoBack"/>
      <w:bookmarkEnd w:id="1"/>
      <w:r w:rsidRPr="001278F0">
        <w:rPr>
          <w:sz w:val="22"/>
          <w:szCs w:val="22"/>
        </w:rPr>
        <w:t xml:space="preserve">the time of inspection there was no method to remotely control the transmitter.   </w:t>
      </w:r>
      <w:r w:rsidRPr="002A40C2">
        <w:rPr>
          <w:sz w:val="22"/>
          <w:szCs w:val="22"/>
        </w:rPr>
        <w:t xml:space="preserve">The transmitter could only be turned off or controlled manually from inside the </w:t>
      </w:r>
      <w:r w:rsidRPr="002A40C2" w:rsidR="009C6B59">
        <w:rPr>
          <w:sz w:val="22"/>
          <w:szCs w:val="22"/>
        </w:rPr>
        <w:t>transmitter building</w:t>
      </w:r>
      <w:r w:rsidRPr="002A40C2">
        <w:rPr>
          <w:sz w:val="22"/>
          <w:szCs w:val="22"/>
        </w:rPr>
        <w:t xml:space="preserve"> at 1563 NE 53rd Avenue</w:t>
      </w:r>
      <w:r w:rsidRPr="002A40C2" w:rsidR="009C6B59">
        <w:rPr>
          <w:sz w:val="22"/>
          <w:szCs w:val="22"/>
        </w:rPr>
        <w:t>, Des Moines, Iowa.</w:t>
      </w:r>
    </w:p>
    <w:p w:rsidR="009C6B59" w:rsidRPr="001278F0" w:rsidP="004349B3" w14:paraId="6A1FE182" w14:textId="77777777">
      <w:pPr>
        <w:pStyle w:val="ListParagraph"/>
        <w:ind w:left="1440" w:right="540"/>
        <w:rPr>
          <w:sz w:val="22"/>
          <w:szCs w:val="22"/>
        </w:rPr>
      </w:pPr>
    </w:p>
    <w:p w:rsidR="001278F0" w:rsidRPr="001278F0" w:rsidP="002F0831" w14:paraId="72774EB8" w14:textId="3950244B">
      <w:pPr>
        <w:pStyle w:val="ListParagraph"/>
        <w:numPr>
          <w:ilvl w:val="1"/>
          <w:numId w:val="3"/>
        </w:numPr>
        <w:tabs>
          <w:tab w:val="clear" w:pos="2520"/>
          <w:tab w:val="num" w:pos="2610"/>
        </w:tabs>
        <w:ind w:left="1440" w:right="540" w:hanging="720"/>
        <w:rPr>
          <w:sz w:val="22"/>
          <w:szCs w:val="22"/>
        </w:rPr>
      </w:pPr>
      <w:r w:rsidRPr="001278F0">
        <w:rPr>
          <w:sz w:val="22"/>
          <w:szCs w:val="22"/>
        </w:rPr>
        <w:t xml:space="preserve">47 C.F.R. § 73.1350(a): “Each licensee is responsible for maintaining and operating its broadcast station in a manner which complies with the technical rules set forth elsewhere in this part and in accordance with the terms of the station authorization.”  </w:t>
      </w:r>
      <w:r w:rsidRPr="002A40C2">
        <w:rPr>
          <w:sz w:val="22"/>
          <w:szCs w:val="22"/>
        </w:rPr>
        <w:t xml:space="preserve">According to KJMC’s license, the authorized transmitter power output (TPO) is 4,000 watts. </w:t>
      </w:r>
      <w:r w:rsidRPr="002A40C2" w:rsidR="009C6B59">
        <w:rPr>
          <w:sz w:val="22"/>
          <w:szCs w:val="22"/>
        </w:rPr>
        <w:t xml:space="preserve"> During the inspection, the </w:t>
      </w:r>
      <w:r w:rsidRPr="002A40C2" w:rsidR="004349B3">
        <w:rPr>
          <w:sz w:val="22"/>
          <w:szCs w:val="22"/>
        </w:rPr>
        <w:t>A</w:t>
      </w:r>
      <w:r w:rsidRPr="002A40C2" w:rsidR="009C6B59">
        <w:rPr>
          <w:sz w:val="22"/>
          <w:szCs w:val="22"/>
        </w:rPr>
        <w:t xml:space="preserve">gent </w:t>
      </w:r>
      <w:r w:rsidRPr="002A40C2">
        <w:rPr>
          <w:sz w:val="22"/>
          <w:szCs w:val="22"/>
        </w:rPr>
        <w:t xml:space="preserve">found that the </w:t>
      </w:r>
      <w:r w:rsidRPr="002A40C2" w:rsidR="009C6B59">
        <w:rPr>
          <w:sz w:val="22"/>
          <w:szCs w:val="22"/>
        </w:rPr>
        <w:t xml:space="preserve">KJMC </w:t>
      </w:r>
      <w:r w:rsidRPr="002A40C2">
        <w:rPr>
          <w:sz w:val="22"/>
          <w:szCs w:val="22"/>
        </w:rPr>
        <w:t xml:space="preserve">transmitter had a maximum output power of 1,300 watts and was operating with an output power of 700 watts, which is 3,300 watts less than the authorized TPO.  </w:t>
      </w:r>
      <w:r w:rsidRPr="002A40C2">
        <w:rPr>
          <w:spacing w:val="-2"/>
          <w:sz w:val="22"/>
          <w:szCs w:val="22"/>
        </w:rPr>
        <w:t xml:space="preserve">According to Commission records, there </w:t>
      </w:r>
      <w:r w:rsidRPr="002A40C2" w:rsidR="009C6B59">
        <w:rPr>
          <w:spacing w:val="-2"/>
          <w:sz w:val="22"/>
          <w:szCs w:val="22"/>
        </w:rPr>
        <w:t>was</w:t>
      </w:r>
      <w:r w:rsidRPr="002A40C2">
        <w:rPr>
          <w:spacing w:val="-2"/>
          <w:sz w:val="22"/>
          <w:szCs w:val="22"/>
        </w:rPr>
        <w:t xml:space="preserve"> no pending STA request for KJMC</w:t>
      </w:r>
      <w:r w:rsidRPr="002A40C2" w:rsidR="009C6B59">
        <w:rPr>
          <w:spacing w:val="-2"/>
          <w:sz w:val="22"/>
          <w:szCs w:val="22"/>
        </w:rPr>
        <w:t xml:space="preserve"> nor </w:t>
      </w:r>
      <w:r w:rsidRPr="002A40C2">
        <w:rPr>
          <w:spacing w:val="-2"/>
          <w:sz w:val="22"/>
          <w:szCs w:val="22"/>
        </w:rPr>
        <w:t xml:space="preserve"> pending modification application</w:t>
      </w:r>
      <w:r w:rsidRPr="002A40C2" w:rsidR="009C6B59">
        <w:rPr>
          <w:spacing w:val="-2"/>
          <w:sz w:val="22"/>
          <w:szCs w:val="22"/>
        </w:rPr>
        <w:t xml:space="preserve"> at the time of inspection</w:t>
      </w:r>
      <w:r w:rsidRPr="002A40C2">
        <w:rPr>
          <w:spacing w:val="-2"/>
          <w:sz w:val="22"/>
          <w:szCs w:val="22"/>
        </w:rPr>
        <w:t>.</w:t>
      </w:r>
      <w:r>
        <w:rPr>
          <w:rStyle w:val="FootnoteReference"/>
          <w:spacing w:val="-2"/>
          <w:sz w:val="22"/>
          <w:szCs w:val="22"/>
        </w:rPr>
        <w:footnoteReference w:id="4"/>
      </w:r>
    </w:p>
    <w:p w:rsidR="00A53015" w:rsidRPr="00A53015" w:rsidP="00A53015" w14:paraId="0DFD7916" w14:textId="77777777">
      <w:pPr>
        <w:pStyle w:val="ListParagraph"/>
        <w:rPr>
          <w:sz w:val="22"/>
          <w:szCs w:val="22"/>
        </w:rPr>
      </w:pPr>
    </w:p>
    <w:p w:rsidR="00DB5E0B" w14:paraId="15CF60DB" w14:textId="0DA6D6BB">
      <w:pPr>
        <w:numPr>
          <w:ilvl w:val="0"/>
          <w:numId w:val="1"/>
        </w:numPr>
        <w:ind w:left="0" w:firstLine="720"/>
        <w:rPr>
          <w:color w:val="000000"/>
          <w:sz w:val="22"/>
          <w:szCs w:val="22"/>
        </w:rPr>
      </w:pPr>
      <w:r>
        <w:rPr>
          <w:sz w:val="22"/>
          <w:szCs w:val="22"/>
        </w:rPr>
        <w:t>Pursuant to</w:t>
      </w:r>
      <w:r w:rsidR="00C321C5">
        <w:rPr>
          <w:sz w:val="22"/>
          <w:szCs w:val="22"/>
        </w:rPr>
        <w:t xml:space="preserve"> s</w:t>
      </w:r>
      <w:r>
        <w:rPr>
          <w:sz w:val="22"/>
          <w:szCs w:val="22"/>
        </w:rPr>
        <w:t>ection 308(b) of the Communications Act of 1934, as amended,</w:t>
      </w:r>
      <w:r>
        <w:rPr>
          <w:sz w:val="22"/>
          <w:szCs w:val="22"/>
          <w:vertAlign w:val="superscript"/>
        </w:rPr>
        <w:footnoteReference w:id="5"/>
      </w:r>
      <w:r>
        <w:rPr>
          <w:sz w:val="22"/>
          <w:szCs w:val="22"/>
        </w:rPr>
        <w:t xml:space="preserve"> and </w:t>
      </w:r>
      <w:r w:rsidR="00C321C5">
        <w:rPr>
          <w:sz w:val="22"/>
          <w:szCs w:val="22"/>
        </w:rPr>
        <w:t>s</w:t>
      </w:r>
      <w:r>
        <w:rPr>
          <w:sz w:val="22"/>
          <w:szCs w:val="22"/>
        </w:rPr>
        <w:t xml:space="preserve">ection 1.89 of the Rules, we seek additional information concerning the violations and any remedial actions taken.  Therefore, </w:t>
      </w:r>
      <w:r w:rsidR="001B0A2D">
        <w:rPr>
          <w:sz w:val="22"/>
          <w:szCs w:val="22"/>
        </w:rPr>
        <w:t>Minority Communications</w:t>
      </w:r>
      <w:r w:rsidR="009B31D5">
        <w:rPr>
          <w:sz w:val="22"/>
          <w:szCs w:val="22"/>
        </w:rPr>
        <w:t xml:space="preserve"> Inc.,</w:t>
      </w:r>
      <w:r>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6"/>
      </w:r>
      <w:r>
        <w:rPr>
          <w:sz w:val="22"/>
          <w:szCs w:val="22"/>
        </w:rPr>
        <w:t xml:space="preserve">  </w:t>
      </w:r>
    </w:p>
    <w:p w:rsidR="00DB5E0B" w14:paraId="4FC36256" w14:textId="505D29F1">
      <w:pPr>
        <w:widowControl w:val="0"/>
        <w:pBdr>
          <w:top w:val="nil"/>
          <w:left w:val="nil"/>
          <w:bottom w:val="nil"/>
          <w:right w:val="nil"/>
          <w:between w:val="nil"/>
        </w:pBdr>
        <w:rPr>
          <w:color w:val="000000"/>
          <w:sz w:val="22"/>
          <w:szCs w:val="22"/>
        </w:rPr>
      </w:pPr>
    </w:p>
    <w:p w:rsidR="00DB5E0B" w14:paraId="15A0609A" w14:textId="0B30AE04">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w:t>
      </w:r>
      <w:r w:rsidR="00C321C5">
        <w:rPr>
          <w:color w:val="000000"/>
          <w:sz w:val="22"/>
          <w:szCs w:val="22"/>
        </w:rPr>
        <w:t>s</w:t>
      </w:r>
      <w:r>
        <w:rPr>
          <w:color w:val="000000"/>
          <w:sz w:val="22"/>
          <w:szCs w:val="22"/>
        </w:rPr>
        <w:t xml:space="preserve">ection 1.16 of the Rules, we direct </w:t>
      </w:r>
      <w:r w:rsidR="001B0A2D">
        <w:rPr>
          <w:sz w:val="22"/>
          <w:szCs w:val="22"/>
        </w:rPr>
        <w:t>Minority Communications</w:t>
      </w:r>
      <w:r w:rsidR="009B31D5">
        <w:rPr>
          <w:sz w:val="22"/>
          <w:szCs w:val="22"/>
        </w:rPr>
        <w:t xml:space="preserve"> Inc.,</w:t>
      </w:r>
      <w:r>
        <w:rPr>
          <w:sz w:val="22"/>
          <w:szCs w:val="22"/>
        </w:rPr>
        <w:t xml:space="preserve"> </w:t>
      </w:r>
      <w:r>
        <w:rPr>
          <w:color w:val="000000"/>
          <w:sz w:val="22"/>
          <w:szCs w:val="22"/>
        </w:rPr>
        <w:t xml:space="preserve">to support its response to this Notice with an affidavit or declaration under penalty of perjury, signed and dated by an authorized officer of </w:t>
      </w:r>
      <w:r w:rsidR="001B0A2D">
        <w:rPr>
          <w:sz w:val="22"/>
          <w:szCs w:val="22"/>
        </w:rPr>
        <w:t>Minority Communications</w:t>
      </w:r>
      <w:r w:rsidR="009B31D5">
        <w:rPr>
          <w:sz w:val="22"/>
          <w:szCs w:val="22"/>
        </w:rPr>
        <w:t xml:space="preserve"> Inc., </w:t>
      </w:r>
      <w:r>
        <w:rPr>
          <w:color w:val="000000"/>
          <w:sz w:val="22"/>
          <w:szCs w:val="22"/>
        </w:rPr>
        <w:t xml:space="preserve">with personal knowledge of the representations provided in </w:t>
      </w:r>
      <w:r w:rsidR="001B0A2D">
        <w:rPr>
          <w:sz w:val="22"/>
          <w:szCs w:val="22"/>
        </w:rPr>
        <w:t>Minority Communications</w:t>
      </w:r>
      <w:r w:rsidR="009B31D5">
        <w:rPr>
          <w:sz w:val="22"/>
          <w:szCs w:val="22"/>
        </w:rPr>
        <w:t xml:space="preserve"> Inc., </w:t>
      </w:r>
      <w:r>
        <w:rPr>
          <w:color w:val="000000"/>
          <w:sz w:val="22"/>
          <w:szCs w:val="22"/>
        </w:rPr>
        <w:t>response, verifying the truth and accuracy of the information therein,</w:t>
      </w:r>
      <w:r>
        <w:rPr>
          <w:color w:val="000000"/>
          <w:vertAlign w:val="superscript"/>
        </w:rPr>
        <w:footnoteReference w:id="7"/>
      </w:r>
      <w:r>
        <w:rPr>
          <w:color w:val="000000"/>
          <w:sz w:val="22"/>
          <w:szCs w:val="22"/>
        </w:rPr>
        <w:t xml:space="preserve"> and confirming that all of the information requested by this Notice which is in </w:t>
      </w:r>
      <w:r>
        <w:rPr>
          <w:color w:val="000000"/>
          <w:sz w:val="22"/>
          <w:szCs w:val="22"/>
        </w:rPr>
        <w:t>the licensee’s possession, custody, control, or knowledge has been produced.  To knowingly and willfully make any false statement or conceal any material fact in reply to this Notice is punishable by fine or imprisonment under Title 18 of the U.S. Code.</w:t>
      </w:r>
      <w:r>
        <w:rPr>
          <w:color w:val="000000"/>
          <w:sz w:val="22"/>
          <w:szCs w:val="22"/>
          <w:vertAlign w:val="superscript"/>
        </w:rPr>
        <w:footnoteReference w:id="8"/>
      </w:r>
      <w:r>
        <w:rPr>
          <w:color w:val="000000"/>
          <w:sz w:val="22"/>
          <w:szCs w:val="22"/>
        </w:rPr>
        <w:t xml:space="preserve"> </w:t>
      </w:r>
      <w:r>
        <w:rPr>
          <w:color w:val="800080"/>
          <w:sz w:val="22"/>
          <w:szCs w:val="22"/>
        </w:rPr>
        <w:t xml:space="preserve"> </w:t>
      </w:r>
    </w:p>
    <w:p w:rsidR="00DB5E0B" w14:paraId="44A6A1E0" w14:textId="761F4683">
      <w:pPr>
        <w:widowControl w:val="0"/>
        <w:pBdr>
          <w:top w:val="nil"/>
          <w:left w:val="nil"/>
          <w:bottom w:val="nil"/>
          <w:right w:val="nil"/>
          <w:between w:val="nil"/>
        </w:pBdr>
        <w:rPr>
          <w:color w:val="000000"/>
          <w:sz w:val="22"/>
          <w:szCs w:val="22"/>
          <w:highlight w:val="yellow"/>
        </w:rPr>
      </w:pPr>
    </w:p>
    <w:p w:rsidR="00DB5E0B" w14:paraId="479CF57A" w14:textId="77777777">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DB5E0B" w14:paraId="6B8220C2" w14:textId="77777777">
      <w:pPr>
        <w:rPr>
          <w:sz w:val="22"/>
          <w:szCs w:val="22"/>
        </w:rPr>
      </w:pPr>
    </w:p>
    <w:p w:rsidR="008C1515" w:rsidRPr="002048BB" w:rsidP="008C1515" w14:paraId="716FC0B7" w14:textId="77777777">
      <w:pPr>
        <w:keepNext/>
        <w:keepLines/>
        <w:ind w:left="2520"/>
        <w:rPr>
          <w:sz w:val="22"/>
          <w:szCs w:val="22"/>
        </w:rPr>
      </w:pPr>
      <w:r w:rsidRPr="002048BB">
        <w:rPr>
          <w:sz w:val="22"/>
          <w:szCs w:val="22"/>
        </w:rPr>
        <w:t>Federal Communications Commission</w:t>
      </w:r>
    </w:p>
    <w:p w:rsidR="008C1515" w:rsidP="008C1515" w14:paraId="47AFE61A" w14:textId="7E16FCA7">
      <w:pPr>
        <w:keepNext/>
        <w:keepLines/>
        <w:ind w:left="2520"/>
        <w:rPr>
          <w:sz w:val="22"/>
          <w:szCs w:val="22"/>
        </w:rPr>
      </w:pPr>
      <w:r>
        <w:rPr>
          <w:sz w:val="22"/>
          <w:szCs w:val="22"/>
        </w:rPr>
        <w:t xml:space="preserve">Enforcement Bureau </w:t>
      </w:r>
      <w:r>
        <w:rPr>
          <w:sz w:val="22"/>
          <w:szCs w:val="22"/>
        </w:rPr>
        <w:br/>
      </w:r>
      <w:r>
        <w:rPr>
          <w:sz w:val="22"/>
          <w:szCs w:val="22"/>
        </w:rPr>
        <w:t>Columbia Regional Office</w:t>
      </w:r>
    </w:p>
    <w:p w:rsidR="008C1515" w:rsidP="008C1515" w14:paraId="421B432B" w14:textId="77777777">
      <w:pPr>
        <w:keepNext/>
        <w:keepLines/>
        <w:ind w:left="2520"/>
        <w:rPr>
          <w:sz w:val="22"/>
          <w:szCs w:val="22"/>
        </w:rPr>
      </w:pPr>
      <w:r>
        <w:rPr>
          <w:sz w:val="22"/>
          <w:szCs w:val="22"/>
        </w:rPr>
        <w:t>9050 Junction Drive</w:t>
      </w:r>
    </w:p>
    <w:p w:rsidR="008C1515" w:rsidP="008C1515" w14:paraId="2AECACA7" w14:textId="77777777">
      <w:pPr>
        <w:keepNext/>
        <w:keepLines/>
        <w:ind w:left="2520"/>
        <w:rPr>
          <w:sz w:val="22"/>
          <w:szCs w:val="22"/>
        </w:rPr>
      </w:pPr>
      <w:r>
        <w:rPr>
          <w:sz w:val="22"/>
          <w:szCs w:val="22"/>
        </w:rPr>
        <w:t>Annapolis, Maryland 20701</w:t>
      </w:r>
    </w:p>
    <w:p w:rsidR="00DB5E0B" w14:paraId="2F6E766A" w14:textId="77777777">
      <w:pPr>
        <w:tabs>
          <w:tab w:val="left" w:pos="-1440"/>
        </w:tabs>
        <w:ind w:left="720"/>
        <w:rPr>
          <w:sz w:val="22"/>
          <w:szCs w:val="22"/>
        </w:rPr>
      </w:pPr>
    </w:p>
    <w:p w:rsidR="004765E1" w:rsidP="004349B3" w14:paraId="1B913E6B" w14:textId="65908EFE">
      <w:pPr>
        <w:numPr>
          <w:ilvl w:val="0"/>
          <w:numId w:val="1"/>
        </w:numPr>
        <w:tabs>
          <w:tab w:val="left" w:pos="-1440"/>
        </w:tabs>
        <w:ind w:left="0" w:firstLine="1440"/>
        <w:rPr>
          <w:sz w:val="22"/>
          <w:szCs w:val="22"/>
        </w:rPr>
      </w:pPr>
      <w:r w:rsidRPr="00A53015">
        <w:rPr>
          <w:sz w:val="22"/>
          <w:szCs w:val="22"/>
        </w:rPr>
        <w:t xml:space="preserve">This Notice shall be sent to </w:t>
      </w:r>
      <w:r w:rsidRPr="00A53015" w:rsidR="001B0A2D">
        <w:rPr>
          <w:sz w:val="22"/>
          <w:szCs w:val="22"/>
        </w:rPr>
        <w:t>Minority Communications</w:t>
      </w:r>
      <w:r w:rsidRPr="00A53015" w:rsidR="009B31D5">
        <w:rPr>
          <w:sz w:val="22"/>
          <w:szCs w:val="22"/>
        </w:rPr>
        <w:t xml:space="preserve"> Inc., Attn: Mr. </w:t>
      </w:r>
      <w:r w:rsidRPr="00A53015" w:rsidR="00A53015">
        <w:rPr>
          <w:sz w:val="22"/>
          <w:szCs w:val="22"/>
        </w:rPr>
        <w:t>Larry Nevilles</w:t>
      </w:r>
      <w:r w:rsidRPr="00A53015" w:rsidR="009B31D5">
        <w:rPr>
          <w:sz w:val="22"/>
          <w:szCs w:val="22"/>
        </w:rPr>
        <w:t xml:space="preserve">, </w:t>
      </w:r>
      <w:r w:rsidRPr="00A53015" w:rsidR="00A53015">
        <w:rPr>
          <w:sz w:val="22"/>
          <w:szCs w:val="22"/>
        </w:rPr>
        <w:t>1169 25th Street, Des Moines, Iowa 50311</w:t>
      </w:r>
      <w:r w:rsidR="00A53015">
        <w:rPr>
          <w:sz w:val="22"/>
          <w:szCs w:val="22"/>
        </w:rPr>
        <w:t>.</w:t>
      </w:r>
      <w:r w:rsidRPr="00A53015" w:rsidR="008C2975">
        <w:rPr>
          <w:sz w:val="22"/>
          <w:szCs w:val="22"/>
        </w:rPr>
        <w:t xml:space="preserve"> </w:t>
      </w:r>
    </w:p>
    <w:p w:rsidR="00D83810" w:rsidP="004349B3" w14:paraId="6BF6441A" w14:textId="77777777">
      <w:pPr>
        <w:tabs>
          <w:tab w:val="left" w:pos="-1440"/>
        </w:tabs>
        <w:ind w:firstLine="1440"/>
        <w:rPr>
          <w:sz w:val="22"/>
          <w:szCs w:val="22"/>
        </w:rPr>
      </w:pPr>
    </w:p>
    <w:p w:rsidR="00D83810" w:rsidRPr="00A53015" w:rsidP="004349B3" w14:paraId="0924FBFD" w14:textId="396FDB5A">
      <w:pPr>
        <w:numPr>
          <w:ilvl w:val="0"/>
          <w:numId w:val="1"/>
        </w:numPr>
        <w:tabs>
          <w:tab w:val="left" w:pos="-1440"/>
        </w:tabs>
        <w:ind w:left="0" w:firstLine="1440"/>
        <w:rPr>
          <w:sz w:val="22"/>
          <w:szCs w:val="22"/>
        </w:rPr>
      </w:pPr>
      <w:r>
        <w:rPr>
          <w:sz w:val="22"/>
          <w:szCs w:val="22"/>
        </w:rPr>
        <w:t>The Privacy Act of 1974</w:t>
      </w:r>
      <w:r>
        <w:rPr>
          <w:sz w:val="22"/>
          <w:szCs w:val="22"/>
          <w:vertAlign w:val="superscript"/>
        </w:rPr>
        <w:footnoteReference w:id="9"/>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0E0398" w:rsidP="004765E1" w14:paraId="6B78205D" w14:textId="7A7E72EA">
      <w:pPr>
        <w:tabs>
          <w:tab w:val="left" w:pos="-1440"/>
        </w:tabs>
        <w:ind w:left="720"/>
        <w:rPr>
          <w:sz w:val="22"/>
          <w:szCs w:val="22"/>
        </w:rPr>
      </w:pPr>
    </w:p>
    <w:p w:rsidR="00DB5E0B" w14:paraId="2D246934" w14:textId="77777777">
      <w:pPr>
        <w:ind w:firstLine="4680"/>
        <w:rPr>
          <w:sz w:val="22"/>
          <w:szCs w:val="22"/>
        </w:rPr>
      </w:pPr>
      <w:bookmarkStart w:id="2" w:name="_30j0zll" w:colFirst="0" w:colLast="0"/>
      <w:bookmarkEnd w:id="2"/>
    </w:p>
    <w:p w:rsidR="00DB5E0B" w14:paraId="68E4AB4E" w14:textId="77777777">
      <w:pPr>
        <w:ind w:firstLine="4680"/>
        <w:rPr>
          <w:sz w:val="22"/>
          <w:szCs w:val="22"/>
        </w:rPr>
      </w:pPr>
      <w:r>
        <w:rPr>
          <w:sz w:val="22"/>
          <w:szCs w:val="22"/>
        </w:rPr>
        <w:t>FEDERAL COMMUNICATIONS COMMISSION</w:t>
      </w:r>
    </w:p>
    <w:p w:rsidR="00DB5E0B" w14:paraId="603F1016" w14:textId="50D5867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r>
      <w:r w:rsidR="00DF7AA6">
        <w:rPr>
          <w:sz w:val="22"/>
          <w:szCs w:val="22"/>
        </w:rPr>
        <w:tab/>
        <w:t xml:space="preserve">      </w:t>
      </w:r>
    </w:p>
    <w:p w:rsidR="000A7B15" w14:paraId="6E5911ED" w14:textId="57E044E3">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76E1" w14:paraId="51BF9CA5" w14:textId="7BA90ED6">
      <w:pPr>
        <w:rPr>
          <w:sz w:val="22"/>
          <w:szCs w:val="22"/>
        </w:rPr>
      </w:pPr>
    </w:p>
    <w:p w:rsidR="009C6B59" w14:paraId="1FAB2B78" w14:textId="77777777">
      <w:pPr>
        <w:rPr>
          <w:sz w:val="22"/>
          <w:szCs w:val="22"/>
        </w:rPr>
      </w:pPr>
    </w:p>
    <w:p w:rsidR="000B1F67" w:rsidRPr="00D01FB5" w:rsidP="000B1F67" w14:paraId="72756929" w14:textId="77777777">
      <w:pPr>
        <w:pStyle w:val="Header"/>
        <w:ind w:firstLine="4680"/>
        <w:rPr>
          <w:sz w:val="22"/>
          <w:szCs w:val="22"/>
        </w:rPr>
      </w:pPr>
      <w:r w:rsidRPr="00D01FB5">
        <w:rPr>
          <w:sz w:val="22"/>
          <w:szCs w:val="22"/>
        </w:rPr>
        <w:t>David C. Dombrowski</w:t>
      </w:r>
    </w:p>
    <w:p w:rsidR="000B1F67" w:rsidRPr="00D01FB5" w:rsidP="000B1F67" w14:paraId="1D50369E" w14:textId="77777777">
      <w:pPr>
        <w:pStyle w:val="Header"/>
        <w:ind w:firstLine="4680"/>
        <w:rPr>
          <w:sz w:val="22"/>
          <w:szCs w:val="22"/>
        </w:rPr>
      </w:pPr>
      <w:r w:rsidRPr="00D01FB5">
        <w:rPr>
          <w:sz w:val="22"/>
          <w:szCs w:val="22"/>
        </w:rPr>
        <w:t>Regional Director</w:t>
      </w:r>
    </w:p>
    <w:p w:rsidR="000B1F67" w:rsidRPr="00D01FB5" w:rsidP="000B1F67" w14:paraId="294C1475" w14:textId="77777777">
      <w:pPr>
        <w:pStyle w:val="Header"/>
        <w:ind w:firstLine="4680"/>
        <w:rPr>
          <w:sz w:val="22"/>
          <w:szCs w:val="22"/>
        </w:rPr>
      </w:pPr>
      <w:r w:rsidRPr="00D01FB5">
        <w:rPr>
          <w:sz w:val="22"/>
          <w:szCs w:val="22"/>
        </w:rPr>
        <w:t>Region One</w:t>
      </w:r>
    </w:p>
    <w:p w:rsidR="000B1F67" w:rsidRPr="00D01FB5" w:rsidP="000B1F67" w14:paraId="66B983CD" w14:textId="77777777">
      <w:pPr>
        <w:pStyle w:val="Header"/>
        <w:ind w:firstLine="4680"/>
        <w:rPr>
          <w:sz w:val="22"/>
          <w:szCs w:val="22"/>
        </w:rPr>
      </w:pPr>
      <w:r w:rsidRPr="00D01FB5">
        <w:rPr>
          <w:sz w:val="22"/>
          <w:szCs w:val="22"/>
        </w:rPr>
        <w:t>Enforcement Bureau</w:t>
      </w:r>
    </w:p>
    <w:p w:rsidR="000B1F67" w:rsidRPr="00D01FB5" w:rsidP="000B1F67" w14:paraId="76022B42" w14:textId="77777777">
      <w:pPr>
        <w:pStyle w:val="Header"/>
        <w:ind w:firstLine="4680"/>
        <w:rPr>
          <w:sz w:val="22"/>
          <w:szCs w:val="22"/>
        </w:rPr>
      </w:pPr>
      <w:r w:rsidRPr="00D01FB5">
        <w:rPr>
          <w:sz w:val="22"/>
          <w:szCs w:val="22"/>
        </w:rPr>
        <w:t>Federal Communications Commission</w:t>
      </w:r>
    </w:p>
    <w:p w:rsidR="00DB5E0B" w14:paraId="6A11AD8D" w14:textId="77777777">
      <w:pPr>
        <w:rPr>
          <w:sz w:val="22"/>
          <w:szCs w:val="22"/>
        </w:rPr>
      </w:pPr>
    </w:p>
    <w:sectPr>
      <w:headerReference w:type="default" r:id="rId5"/>
      <w:footerReference w:type="even" r:id="rId6"/>
      <w:footerReference w:type="default" r:id="rId7"/>
      <w:headerReference w:type="first" r:id="rId8"/>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25DF2636"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DB5E0B" w14:paraId="7CC9B629" w14:textId="77777777">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9C4F671"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142F477D" w14:textId="77777777">
    <w:pPr>
      <w:widowControl w:val="0"/>
      <w:pBdr>
        <w:top w:val="nil"/>
        <w:left w:val="nil"/>
        <w:bottom w:val="nil"/>
        <w:right w:val="nil"/>
        <w:between w:val="nil"/>
      </w:pBdr>
      <w:tabs>
        <w:tab w:val="center" w:pos="4320"/>
        <w:tab w:val="right" w:pos="8640"/>
      </w:tabs>
      <w:jc w:val="center"/>
      <w:rPr>
        <w:color w:val="000000"/>
        <w:sz w:val="24"/>
        <w:szCs w:val="24"/>
      </w:rPr>
    </w:pPr>
  </w:p>
  <w:p w:rsidR="00DB5E0B" w14:paraId="74D63264" w14:textId="77777777">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0D5D">
      <w:rPr>
        <w:noProof/>
        <w:color w:val="000000"/>
        <w:sz w:val="24"/>
        <w:szCs w:val="24"/>
      </w:rPr>
      <w:t>3</w:t>
    </w:r>
    <w:r>
      <w:rPr>
        <w:color w:val="000000"/>
        <w:sz w:val="24"/>
        <w:szCs w:val="24"/>
      </w:rPr>
      <w:fldChar w:fldCharType="end"/>
    </w:r>
  </w:p>
  <w:p w:rsidR="00DB5E0B" w14:paraId="58581811" w14:textId="77777777">
    <w:pPr>
      <w:rPr>
        <w:sz w:val="22"/>
        <w:szCs w:val="22"/>
      </w:rPr>
    </w:pPr>
  </w:p>
  <w:p w:rsidR="00DB5E0B" w14:paraId="46A03A30"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2BBB" w14:paraId="6BCF9C8E" w14:textId="77777777">
      <w:r>
        <w:separator/>
      </w:r>
    </w:p>
  </w:footnote>
  <w:footnote w:type="continuationSeparator" w:id="1">
    <w:p w:rsidR="00742BBB" w14:paraId="5A066434" w14:textId="77777777">
      <w:r>
        <w:continuationSeparator/>
      </w:r>
    </w:p>
  </w:footnote>
  <w:footnote w:id="2">
    <w:p w:rsidR="00DB5E0B" w:rsidP="006D6F04" w14:paraId="0C6C14F1" w14:textId="3ABF4710">
      <w:pPr>
        <w:widowControl w:val="0"/>
        <w:pBdr>
          <w:top w:val="nil"/>
          <w:left w:val="nil"/>
          <w:bottom w:val="nil"/>
          <w:right w:val="nil"/>
          <w:between w:val="nil"/>
        </w:pBdr>
        <w:spacing w:after="120"/>
        <w:rPr>
          <w:color w:val="000000"/>
        </w:rPr>
      </w:pPr>
      <w:r>
        <w:rPr>
          <w:vertAlign w:val="superscript"/>
        </w:rPr>
        <w:footnoteRef/>
      </w:r>
      <w:r>
        <w:rPr>
          <w:color w:val="000000"/>
        </w:rPr>
        <w:t xml:space="preserve"> 47 CFR § 1.89.</w:t>
      </w:r>
    </w:p>
  </w:footnote>
  <w:footnote w:id="3">
    <w:p w:rsidR="00DB5E0B" w:rsidP="006D6F04" w14:paraId="311F2E59" w14:textId="7FD2264F">
      <w:pPr>
        <w:tabs>
          <w:tab w:val="left" w:pos="-1440"/>
        </w:tabs>
        <w:spacing w:after="120"/>
        <w:rPr>
          <w:color w:val="000000"/>
          <w:sz w:val="18"/>
          <w:szCs w:val="18"/>
        </w:rPr>
      </w:pPr>
      <w:r>
        <w:rPr>
          <w:vertAlign w:val="superscript"/>
        </w:rPr>
        <w:footnoteRef/>
      </w:r>
      <w:r>
        <w:t xml:space="preserve"> 47 CFR § 1.89(a).</w:t>
      </w:r>
    </w:p>
  </w:footnote>
  <w:footnote w:id="4">
    <w:p w:rsidR="009C6B59" w14:paraId="5635C47C" w14:textId="75CA814F">
      <w:pPr>
        <w:pStyle w:val="FootnoteText"/>
      </w:pPr>
      <w:r>
        <w:rPr>
          <w:rStyle w:val="FootnoteReference"/>
        </w:rPr>
        <w:footnoteRef/>
      </w:r>
      <w:r>
        <w:t xml:space="preserve"> On August 22, 2019, Minority Communications Inc. filed a Special Temporary Authority (STA) request with the Commission (File No BSTA-20190822AA) to operate at reduced power.  The Commission granted the STA on August 26, 2019 and the STA expires on February 22, 2020.</w:t>
      </w:r>
    </w:p>
  </w:footnote>
  <w:footnote w:id="5">
    <w:p w:rsidR="00DB5E0B" w:rsidP="00C321C5" w14:paraId="1441D52A"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308(b).</w:t>
      </w:r>
    </w:p>
  </w:footnote>
  <w:footnote w:id="6">
    <w:p w:rsidR="00DB5E0B" w14:paraId="3C9B7504" w14:textId="17DC900F">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7">
    <w:p w:rsidR="00DB5E0B" w14:paraId="32E4DC3E" w14:textId="7CCA4AE3">
      <w:pPr>
        <w:widowControl w:val="0"/>
        <w:spacing w:after="120"/>
      </w:pPr>
      <w:r>
        <w:rPr>
          <w:vertAlign w:val="superscript"/>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B5E0B" w14:paraId="10E1FC6F" w14:textId="77777777">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9">
    <w:p w:rsidR="00D83810" w:rsidP="00D83810" w14:paraId="0FC9B850" w14:textId="77777777">
      <w:pPr>
        <w:widowControl w:val="0"/>
        <w:pBdr>
          <w:top w:val="nil"/>
          <w:left w:val="nil"/>
          <w:bottom w:val="nil"/>
          <w:right w:val="nil"/>
          <w:between w:val="nil"/>
        </w:pBdr>
        <w:rPr>
          <w:color w:val="000000"/>
        </w:rPr>
      </w:pPr>
      <w:r>
        <w:rPr>
          <w:vertAlign w:val="superscript"/>
        </w:rPr>
        <w:footnoteRef/>
      </w:r>
      <w:r>
        <w:rPr>
          <w:color w:val="000000"/>
        </w:rPr>
        <w:t xml:space="preserve"> 5 U.S.C. § 552a(e)(3).</w:t>
      </w:r>
    </w:p>
    <w:p w:rsidR="00D83810" w:rsidP="00D83810" w14:paraId="48B08744" w14:textId="77777777">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01D4D93D" w14:textId="77777777">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DB5E0B" w14:paraId="5D9EA657" w14:textId="77777777">
    <w:pPr>
      <w:jc w:val="both"/>
      <w:rPr>
        <w:sz w:val="22"/>
        <w:szCs w:val="22"/>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DB5E0B" w14:paraId="6C794D9E" w14:textId="77777777"/>
                </w:txbxContent>
              </v:textbox>
              <w10:wrap type="square"/>
            </v:rect>
          </w:pict>
        </mc:Fallback>
      </mc:AlternateContent>
    </w:r>
  </w:p>
  <w:p w:rsidR="00DB5E0B" w14:paraId="2A6045C1" w14:textId="77777777">
    <w:pPr>
      <w:jc w:val="both"/>
      <w:rPr>
        <w:sz w:val="22"/>
        <w:szCs w:val="22"/>
      </w:rPr>
    </w:pPr>
  </w:p>
  <w:p w:rsidR="00DB5E0B" w14:paraId="4A60C80B" w14:textId="7777777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E0B" w14:paraId="701C98E7" w14:textId="77777777">
    <w:pPr>
      <w:pStyle w:val="Heading2"/>
      <w:tabs>
        <w:tab w:val="right" w:pos="9360"/>
      </w:tabs>
    </w:pPr>
    <w:r>
      <w:t>Federal Communications Commission</w:t>
    </w:r>
  </w:p>
  <w:p w:rsidR="00DB5E0B" w14:paraId="1422BDEC" w14:textId="77777777">
    <w:pPr>
      <w:jc w:val="both"/>
      <w:rPr>
        <w:sz w:val="22"/>
        <w:szCs w:val="22"/>
      </w:rPr>
    </w:pPr>
    <w:r>
      <w:rPr>
        <w:noProof/>
      </w:rPr>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DB5E0B" w14:textId="77777777"/>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DB5E0B" w14:paraId="14805C2D" w14:textId="77777777"/>
                </w:txbxContent>
              </v:textbox>
              <w10:wrap type="square"/>
            </v:rect>
          </w:pict>
        </mc:Fallback>
      </mc:AlternateContent>
    </w:r>
  </w:p>
  <w:p w:rsidR="00DB5E0B" w14:paraId="13DCBEB5" w14:textId="77777777">
    <w:pPr>
      <w:tabs>
        <w:tab w:val="center" w:pos="4680"/>
        <w:tab w:val="right" w:pos="9360"/>
      </w:tabs>
      <w:jc w:val="both"/>
    </w:pPr>
  </w:p>
  <w:p w:rsidR="00DB5E0B" w14:paraId="168CF388" w14:textId="77777777">
    <w:pPr>
      <w:tabs>
        <w:tab w:val="center" w:pos="468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3687448"/>
    <w:multiLevelType w:val="multilevel"/>
    <w:tmpl w:val="6C2C7164"/>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247334"/>
    <w:multiLevelType w:val="multilevel"/>
    <w:tmpl w:val="E88ABC40"/>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0B"/>
    <w:rsid w:val="00020D7A"/>
    <w:rsid w:val="0002464B"/>
    <w:rsid w:val="0002499E"/>
    <w:rsid w:val="000367CA"/>
    <w:rsid w:val="000A7B15"/>
    <w:rsid w:val="000B1F67"/>
    <w:rsid w:val="000C3AB3"/>
    <w:rsid w:val="000E0398"/>
    <w:rsid w:val="000E1FCA"/>
    <w:rsid w:val="0010266B"/>
    <w:rsid w:val="0010416B"/>
    <w:rsid w:val="00110A0E"/>
    <w:rsid w:val="001278F0"/>
    <w:rsid w:val="00161F5A"/>
    <w:rsid w:val="00175FBD"/>
    <w:rsid w:val="001A0CAA"/>
    <w:rsid w:val="001A2880"/>
    <w:rsid w:val="001B0A2D"/>
    <w:rsid w:val="001B43CD"/>
    <w:rsid w:val="001C0A76"/>
    <w:rsid w:val="001C13DF"/>
    <w:rsid w:val="001E468F"/>
    <w:rsid w:val="002048BB"/>
    <w:rsid w:val="00215F3A"/>
    <w:rsid w:val="00234C78"/>
    <w:rsid w:val="00262FBA"/>
    <w:rsid w:val="00266091"/>
    <w:rsid w:val="002A40C2"/>
    <w:rsid w:val="002E5E89"/>
    <w:rsid w:val="002F0831"/>
    <w:rsid w:val="002F2D11"/>
    <w:rsid w:val="002F307C"/>
    <w:rsid w:val="002F5820"/>
    <w:rsid w:val="00394F96"/>
    <w:rsid w:val="0042455B"/>
    <w:rsid w:val="004349B3"/>
    <w:rsid w:val="00452E95"/>
    <w:rsid w:val="00462F5D"/>
    <w:rsid w:val="00465D97"/>
    <w:rsid w:val="00467CDC"/>
    <w:rsid w:val="004765E1"/>
    <w:rsid w:val="00480755"/>
    <w:rsid w:val="004871CF"/>
    <w:rsid w:val="004B4A5C"/>
    <w:rsid w:val="004E09A9"/>
    <w:rsid w:val="00512424"/>
    <w:rsid w:val="0052524A"/>
    <w:rsid w:val="00533874"/>
    <w:rsid w:val="0057634F"/>
    <w:rsid w:val="005B6432"/>
    <w:rsid w:val="0061549A"/>
    <w:rsid w:val="00615BE9"/>
    <w:rsid w:val="00637A21"/>
    <w:rsid w:val="00664864"/>
    <w:rsid w:val="006A2088"/>
    <w:rsid w:val="006B5BA0"/>
    <w:rsid w:val="006B66A6"/>
    <w:rsid w:val="006D6F04"/>
    <w:rsid w:val="00742BBB"/>
    <w:rsid w:val="00765844"/>
    <w:rsid w:val="00770E7E"/>
    <w:rsid w:val="0078474A"/>
    <w:rsid w:val="00793B95"/>
    <w:rsid w:val="007D43BE"/>
    <w:rsid w:val="007D7FE9"/>
    <w:rsid w:val="008005B9"/>
    <w:rsid w:val="00840289"/>
    <w:rsid w:val="008A68F4"/>
    <w:rsid w:val="008B0D5D"/>
    <w:rsid w:val="008C1515"/>
    <w:rsid w:val="008C2975"/>
    <w:rsid w:val="00944A79"/>
    <w:rsid w:val="009509C9"/>
    <w:rsid w:val="0097569D"/>
    <w:rsid w:val="009976E1"/>
    <w:rsid w:val="009B31D5"/>
    <w:rsid w:val="009C4586"/>
    <w:rsid w:val="009C6B59"/>
    <w:rsid w:val="009D40FF"/>
    <w:rsid w:val="009E6AF8"/>
    <w:rsid w:val="00A0088F"/>
    <w:rsid w:val="00A0431C"/>
    <w:rsid w:val="00A451D4"/>
    <w:rsid w:val="00A53015"/>
    <w:rsid w:val="00A741E2"/>
    <w:rsid w:val="00A92B34"/>
    <w:rsid w:val="00B31400"/>
    <w:rsid w:val="00B73903"/>
    <w:rsid w:val="00B82154"/>
    <w:rsid w:val="00B95B70"/>
    <w:rsid w:val="00C321C5"/>
    <w:rsid w:val="00C573E8"/>
    <w:rsid w:val="00C677F1"/>
    <w:rsid w:val="00C770E2"/>
    <w:rsid w:val="00C92CB9"/>
    <w:rsid w:val="00CD1ECF"/>
    <w:rsid w:val="00D01FB5"/>
    <w:rsid w:val="00D02269"/>
    <w:rsid w:val="00D23A2D"/>
    <w:rsid w:val="00D30007"/>
    <w:rsid w:val="00D36BA8"/>
    <w:rsid w:val="00D4504E"/>
    <w:rsid w:val="00D53608"/>
    <w:rsid w:val="00D83810"/>
    <w:rsid w:val="00DB5E0B"/>
    <w:rsid w:val="00DE35DA"/>
    <w:rsid w:val="00DF0924"/>
    <w:rsid w:val="00DF7AA6"/>
    <w:rsid w:val="00E035BF"/>
    <w:rsid w:val="00E062C3"/>
    <w:rsid w:val="00E455B3"/>
    <w:rsid w:val="00E91493"/>
    <w:rsid w:val="00EC0B54"/>
    <w:rsid w:val="00EE1293"/>
    <w:rsid w:val="00EF5DA0"/>
    <w:rsid w:val="00F24F59"/>
    <w:rsid w:val="00F45144"/>
    <w:rsid w:val="00F56B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1A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AA"/>
    <w:rPr>
      <w:rFonts w:ascii="Segoe UI" w:hAnsi="Segoe UI" w:cs="Segoe UI"/>
      <w:sz w:val="18"/>
      <w:szCs w:val="18"/>
    </w:rPr>
  </w:style>
  <w:style w:type="character" w:styleId="FootnoteReference">
    <w:name w:val="footnote reference"/>
    <w:basedOn w:val="DefaultParagraphFont"/>
    <w:semiHidden/>
    <w:rsid w:val="00215F3A"/>
    <w:rPr>
      <w:vertAlign w:val="superscript"/>
    </w:rPr>
  </w:style>
  <w:style w:type="paragraph" w:styleId="FootnoteText">
    <w:name w:val="footnote text"/>
    <w:aliases w:val="rrfootnote"/>
    <w:basedOn w:val="Normal"/>
    <w:link w:val="FootnoteTextChar"/>
    <w:autoRedefine/>
    <w:semiHidden/>
    <w:rsid w:val="00215F3A"/>
    <w:pPr>
      <w:widowControl w:val="0"/>
      <w:suppressAutoHyphens/>
      <w:autoSpaceDE w:val="0"/>
      <w:autoSpaceDN w:val="0"/>
      <w:adjustRightInd w:val="0"/>
      <w:spacing w:after="240"/>
    </w:pPr>
    <w:rPr>
      <w:spacing w:val="-2"/>
    </w:rPr>
  </w:style>
  <w:style w:type="character" w:customStyle="1" w:styleId="FootnoteTextChar">
    <w:name w:val="Footnote Text Char"/>
    <w:aliases w:val="rrfootnote Char"/>
    <w:basedOn w:val="DefaultParagraphFont"/>
    <w:link w:val="FootnoteText"/>
    <w:semiHidden/>
    <w:rsid w:val="00215F3A"/>
    <w:rPr>
      <w:spacing w:val="-2"/>
    </w:rPr>
  </w:style>
  <w:style w:type="character" w:styleId="Hyperlink">
    <w:name w:val="Hyperlink"/>
    <w:basedOn w:val="DefaultParagraphFont"/>
    <w:uiPriority w:val="99"/>
    <w:unhideWhenUsed/>
    <w:rsid w:val="008C1515"/>
    <w:rPr>
      <w:color w:val="0000FF" w:themeColor="hyperlink"/>
      <w:u w:val="single"/>
    </w:rPr>
  </w:style>
  <w:style w:type="character" w:customStyle="1" w:styleId="UnresolvedMention">
    <w:name w:val="Unresolved Mention"/>
    <w:basedOn w:val="DefaultParagraphFont"/>
    <w:uiPriority w:val="99"/>
    <w:semiHidden/>
    <w:unhideWhenUsed/>
    <w:rsid w:val="008C1515"/>
    <w:rPr>
      <w:color w:val="605E5C"/>
      <w:shd w:val="clear" w:color="auto" w:fill="E1DFDD"/>
    </w:rPr>
  </w:style>
  <w:style w:type="paragraph" w:styleId="Header">
    <w:name w:val="header"/>
    <w:basedOn w:val="Normal"/>
    <w:link w:val="HeaderChar"/>
    <w:rsid w:val="000B1F67"/>
    <w:pPr>
      <w:widowControl w:val="0"/>
      <w:tabs>
        <w:tab w:val="center" w:pos="4320"/>
        <w:tab w:val="right" w:pos="8640"/>
      </w:tabs>
    </w:pPr>
    <w:rPr>
      <w:snapToGrid w:val="0"/>
      <w:sz w:val="24"/>
    </w:rPr>
  </w:style>
  <w:style w:type="character" w:customStyle="1" w:styleId="HeaderChar">
    <w:name w:val="Header Char"/>
    <w:basedOn w:val="DefaultParagraphFont"/>
    <w:link w:val="Header"/>
    <w:rsid w:val="000B1F67"/>
    <w:rPr>
      <w:snapToGrid w:val="0"/>
      <w:sz w:val="24"/>
    </w:rPr>
  </w:style>
  <w:style w:type="paragraph" w:styleId="ListParagraph">
    <w:name w:val="List Paragraph"/>
    <w:basedOn w:val="Normal"/>
    <w:uiPriority w:val="99"/>
    <w:qFormat/>
    <w:rsid w:val="009B31D5"/>
    <w:pPr>
      <w:ind w:left="720"/>
      <w:contextualSpacing/>
    </w:pPr>
  </w:style>
  <w:style w:type="character" w:customStyle="1" w:styleId="NOVBodyindented">
    <w:name w:val="NOV Body indented"/>
    <w:rsid w:val="009B31D5"/>
    <w:rPr>
      <w:sz w:val="22"/>
      <w:szCs w:val="22"/>
    </w:rPr>
  </w:style>
  <w:style w:type="character" w:customStyle="1" w:styleId="ptext-0">
    <w:name w:val="ptext-0"/>
    <w:basedOn w:val="DefaultParagraphFont"/>
    <w:rsid w:val="009B31D5"/>
  </w:style>
  <w:style w:type="character" w:styleId="CommentReference">
    <w:name w:val="annotation reference"/>
    <w:basedOn w:val="DefaultParagraphFont"/>
    <w:uiPriority w:val="99"/>
    <w:semiHidden/>
    <w:unhideWhenUsed/>
    <w:rsid w:val="00B31400"/>
    <w:rPr>
      <w:sz w:val="16"/>
      <w:szCs w:val="16"/>
    </w:rPr>
  </w:style>
  <w:style w:type="paragraph" w:styleId="CommentText">
    <w:name w:val="annotation text"/>
    <w:basedOn w:val="Normal"/>
    <w:link w:val="CommentTextChar"/>
    <w:uiPriority w:val="99"/>
    <w:semiHidden/>
    <w:unhideWhenUsed/>
    <w:rsid w:val="00B31400"/>
  </w:style>
  <w:style w:type="character" w:customStyle="1" w:styleId="CommentTextChar">
    <w:name w:val="Comment Text Char"/>
    <w:basedOn w:val="DefaultParagraphFont"/>
    <w:link w:val="CommentText"/>
    <w:uiPriority w:val="99"/>
    <w:semiHidden/>
    <w:rsid w:val="00B31400"/>
  </w:style>
  <w:style w:type="paragraph" w:styleId="CommentSubject">
    <w:name w:val="annotation subject"/>
    <w:basedOn w:val="CommentText"/>
    <w:next w:val="CommentText"/>
    <w:link w:val="CommentSubjectChar"/>
    <w:uiPriority w:val="99"/>
    <w:semiHidden/>
    <w:unhideWhenUsed/>
    <w:rsid w:val="00B31400"/>
    <w:rPr>
      <w:b/>
      <w:bCs/>
    </w:rPr>
  </w:style>
  <w:style w:type="character" w:customStyle="1" w:styleId="CommentSubjectChar">
    <w:name w:val="Comment Subject Char"/>
    <w:basedOn w:val="CommentTextChar"/>
    <w:link w:val="CommentSubject"/>
    <w:uiPriority w:val="99"/>
    <w:semiHidden/>
    <w:rsid w:val="00B31400"/>
    <w:rPr>
      <w:b/>
      <w:bCs/>
    </w:rPr>
  </w:style>
  <w:style w:type="paragraph" w:styleId="Footer">
    <w:name w:val="footer"/>
    <w:basedOn w:val="Normal"/>
    <w:link w:val="FooterChar"/>
    <w:uiPriority w:val="99"/>
    <w:unhideWhenUsed/>
    <w:rsid w:val="002F5820"/>
    <w:pPr>
      <w:tabs>
        <w:tab w:val="center" w:pos="4680"/>
        <w:tab w:val="right" w:pos="9360"/>
      </w:tabs>
    </w:pPr>
  </w:style>
  <w:style w:type="character" w:customStyle="1" w:styleId="FooterChar">
    <w:name w:val="Footer Char"/>
    <w:basedOn w:val="DefaultParagraphFont"/>
    <w:link w:val="Footer"/>
    <w:uiPriority w:val="99"/>
    <w:rsid w:val="002F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