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3931D72F" w14:textId="77777777" w:rsidTr="006D5D22">
        <w:tblPrEx>
          <w:tblW w:w="0" w:type="auto"/>
          <w:tblLook w:val="0000"/>
        </w:tblPrEx>
        <w:trPr>
          <w:trHeight w:val="2181"/>
        </w:trPr>
        <w:tc>
          <w:tcPr>
            <w:tcW w:w="8856" w:type="dxa"/>
          </w:tcPr>
          <w:p w:rsidR="00FF232D" w:rsidP="00641CD8" w14:paraId="7652FB6C" w14:textId="77777777">
            <w:pPr>
              <w:spacing w:after="120"/>
              <w:jc w:val="center"/>
              <w:rPr>
                <w:b/>
              </w:rPr>
            </w:pPr>
            <w:bookmarkStart w:id="0" w:name="_GoBack"/>
            <w:bookmarkEnd w:id="0"/>
            <w:r>
              <w:rPr>
                <w:b/>
                <w:i/>
                <w:noProof/>
                <w:sz w:val="28"/>
                <w:szCs w:val="28"/>
              </w:rPr>
              <w:drawing>
                <wp:inline distT="0" distB="0" distL="0" distR="0">
                  <wp:extent cx="539115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54327" name="Picture 1" descr="Open Meeting Agend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1150" cy="752475"/>
                          </a:xfrm>
                          <a:prstGeom prst="rect">
                            <a:avLst/>
                          </a:prstGeom>
                          <a:noFill/>
                          <a:ln>
                            <a:noFill/>
                          </a:ln>
                        </pic:spPr>
                      </pic:pic>
                    </a:graphicData>
                  </a:graphic>
                </wp:inline>
              </w:drawing>
            </w:r>
          </w:p>
          <w:p w:rsidR="007A44F8" w:rsidRPr="008A3940" w:rsidP="00BB4E29" w14:paraId="688467A7" w14:textId="77777777">
            <w:pPr>
              <w:rPr>
                <w:b/>
                <w:bCs/>
                <w:sz w:val="22"/>
                <w:szCs w:val="22"/>
              </w:rPr>
            </w:pPr>
            <w:r w:rsidRPr="008A3940">
              <w:rPr>
                <w:b/>
                <w:bCs/>
                <w:sz w:val="22"/>
                <w:szCs w:val="22"/>
              </w:rPr>
              <w:t xml:space="preserve">Media Contact: </w:t>
            </w:r>
          </w:p>
          <w:p w:rsidR="007A44F8" w:rsidRPr="008A3940" w:rsidP="00BB4E29" w14:paraId="3A89509A" w14:textId="77777777">
            <w:pPr>
              <w:rPr>
                <w:bCs/>
                <w:sz w:val="22"/>
                <w:szCs w:val="22"/>
              </w:rPr>
            </w:pPr>
            <w:r>
              <w:rPr>
                <w:bCs/>
                <w:sz w:val="22"/>
                <w:szCs w:val="22"/>
              </w:rPr>
              <w:t>Mark Wigfield</w:t>
            </w:r>
            <w:r w:rsidR="00A41840">
              <w:rPr>
                <w:bCs/>
                <w:sz w:val="22"/>
                <w:szCs w:val="22"/>
              </w:rPr>
              <w:t>, 202-418-0</w:t>
            </w:r>
            <w:r>
              <w:rPr>
                <w:bCs/>
                <w:sz w:val="22"/>
                <w:szCs w:val="22"/>
              </w:rPr>
              <w:t>253</w:t>
            </w:r>
          </w:p>
          <w:p w:rsidR="007A44F8" w:rsidP="00BB4E29" w14:paraId="40E6031B" w14:textId="77777777">
            <w:pPr>
              <w:rPr>
                <w:bCs/>
                <w:sz w:val="22"/>
                <w:szCs w:val="22"/>
              </w:rPr>
            </w:pPr>
            <w:r>
              <w:rPr>
                <w:bCs/>
                <w:sz w:val="22"/>
                <w:szCs w:val="22"/>
              </w:rPr>
              <w:t>mark.wigfield</w:t>
            </w:r>
            <w:r w:rsidRPr="00767BA3" w:rsidR="00767BA3">
              <w:rPr>
                <w:bCs/>
                <w:sz w:val="22"/>
                <w:szCs w:val="22"/>
              </w:rPr>
              <w:t xml:space="preserve">@fcc.gov </w:t>
            </w:r>
          </w:p>
          <w:p w:rsidR="00767BA3" w:rsidRPr="008A3940" w:rsidP="005D4BBA" w14:paraId="5311F082" w14:textId="77777777">
            <w:pPr>
              <w:ind w:right="-105"/>
              <w:rPr>
                <w:bCs/>
                <w:sz w:val="22"/>
                <w:szCs w:val="22"/>
              </w:rPr>
            </w:pPr>
          </w:p>
          <w:p w:rsidR="007A44F8" w:rsidP="00BB4E29" w14:paraId="724492ED" w14:textId="77777777">
            <w:pPr>
              <w:rPr>
                <w:b/>
                <w:sz w:val="22"/>
                <w:szCs w:val="22"/>
              </w:rPr>
            </w:pPr>
            <w:r w:rsidRPr="008A3940">
              <w:rPr>
                <w:b/>
                <w:sz w:val="22"/>
                <w:szCs w:val="22"/>
              </w:rPr>
              <w:t>For Immediate Release</w:t>
            </w:r>
          </w:p>
          <w:p w:rsidR="007A44F8" w:rsidRPr="00641CD8" w:rsidP="00BB4E29" w14:paraId="4BC576EC" w14:textId="77777777">
            <w:pPr>
              <w:jc w:val="center"/>
              <w:rPr>
                <w:b/>
                <w:bCs/>
                <w:sz w:val="22"/>
                <w:szCs w:val="22"/>
              </w:rPr>
            </w:pPr>
          </w:p>
          <w:p w:rsidR="00E34E3F" w:rsidRPr="00B47F70" w:rsidP="00A41840" w14:paraId="71701A11" w14:textId="77777777">
            <w:pPr>
              <w:widowControl w:val="0"/>
              <w:autoSpaceDE w:val="0"/>
              <w:autoSpaceDN w:val="0"/>
              <w:adjustRightInd w:val="0"/>
              <w:jc w:val="center"/>
              <w:rPr>
                <w:b/>
                <w:bCs/>
                <w:caps/>
              </w:rPr>
            </w:pPr>
            <w:r w:rsidRPr="00B47F70">
              <w:rPr>
                <w:b/>
                <w:bCs/>
                <w:caps/>
              </w:rPr>
              <w:t xml:space="preserve">FCC </w:t>
            </w:r>
            <w:r w:rsidRPr="00B47F70" w:rsidR="00A41840">
              <w:rPr>
                <w:b/>
                <w:bCs/>
                <w:caps/>
              </w:rPr>
              <w:t xml:space="preserve">ANNOUNCES TENTATIVE AGENDA FOR </w:t>
            </w:r>
            <w:r w:rsidR="007C1DE0">
              <w:rPr>
                <w:b/>
                <w:bCs/>
                <w:caps/>
              </w:rPr>
              <w:t>OCTOBER</w:t>
            </w:r>
            <w:r w:rsidRPr="00B47F70" w:rsidR="00A41840">
              <w:rPr>
                <w:b/>
                <w:bCs/>
                <w:caps/>
              </w:rPr>
              <w:t xml:space="preserve"> OPEN MEETING</w:t>
            </w:r>
          </w:p>
          <w:p w:rsidR="00F61155" w:rsidRPr="006B0A70" w:rsidP="00BB4E29" w14:paraId="74A4F250"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41840" w:rsidRPr="0067361F" w:rsidP="00A41840" w14:paraId="76F0D5E1" w14:textId="77777777">
            <w:pPr>
              <w:tabs>
                <w:tab w:val="left" w:pos="8640"/>
              </w:tabs>
              <w:rPr>
                <w:sz w:val="22"/>
                <w:szCs w:val="22"/>
              </w:rPr>
            </w:pPr>
            <w:r w:rsidRPr="0067361F">
              <w:rPr>
                <w:sz w:val="22"/>
                <w:szCs w:val="22"/>
              </w:rPr>
              <w:t xml:space="preserve">WASHINGTON, </w:t>
            </w:r>
            <w:r w:rsidRPr="0067361F" w:rsidR="007C1DE0">
              <w:rPr>
                <w:sz w:val="22"/>
                <w:szCs w:val="22"/>
              </w:rPr>
              <w:t>October 4</w:t>
            </w:r>
            <w:r w:rsidRPr="0067361F" w:rsidR="00D148D6">
              <w:rPr>
                <w:sz w:val="22"/>
                <w:szCs w:val="22"/>
              </w:rPr>
              <w:t>, 201</w:t>
            </w:r>
            <w:r w:rsidRPr="0067361F" w:rsidR="000D7889">
              <w:rPr>
                <w:sz w:val="22"/>
                <w:szCs w:val="22"/>
              </w:rPr>
              <w:t>9</w:t>
            </w:r>
            <w:r w:rsidRPr="0067361F" w:rsidR="00641CD8">
              <w:rPr>
                <w:sz w:val="22"/>
                <w:szCs w:val="22"/>
              </w:rPr>
              <w:t>—</w:t>
            </w:r>
            <w:r w:rsidRPr="0067361F">
              <w:rPr>
                <w:sz w:val="22"/>
                <w:szCs w:val="22"/>
              </w:rPr>
              <w:t xml:space="preserve">Federal Communications Commission Chairman </w:t>
            </w:r>
            <w:r w:rsidRPr="0067361F" w:rsidR="00A27E96">
              <w:rPr>
                <w:sz w:val="22"/>
                <w:szCs w:val="22"/>
              </w:rPr>
              <w:t xml:space="preserve">Ajit Pai </w:t>
            </w:r>
            <w:r w:rsidRPr="0067361F">
              <w:rPr>
                <w:sz w:val="22"/>
                <w:szCs w:val="22"/>
              </w:rPr>
              <w:t xml:space="preserve">announced that the items </w:t>
            </w:r>
            <w:r w:rsidRPr="0067361F" w:rsidR="000D7889">
              <w:rPr>
                <w:sz w:val="22"/>
                <w:szCs w:val="22"/>
              </w:rPr>
              <w:t xml:space="preserve">below </w:t>
            </w:r>
            <w:r w:rsidRPr="0067361F">
              <w:rPr>
                <w:sz w:val="22"/>
                <w:szCs w:val="22"/>
              </w:rPr>
              <w:t xml:space="preserve">are tentatively on the agenda for the </w:t>
            </w:r>
            <w:r w:rsidRPr="0067361F" w:rsidR="007C1DE0">
              <w:rPr>
                <w:sz w:val="22"/>
                <w:szCs w:val="22"/>
              </w:rPr>
              <w:t>October</w:t>
            </w:r>
            <w:r w:rsidRPr="0067361F">
              <w:rPr>
                <w:sz w:val="22"/>
                <w:szCs w:val="22"/>
              </w:rPr>
              <w:t xml:space="preserve"> Open Commission Meeting scheduled for </w:t>
            </w:r>
            <w:r w:rsidRPr="0067361F" w:rsidR="007C1DE0">
              <w:rPr>
                <w:sz w:val="22"/>
                <w:szCs w:val="22"/>
              </w:rPr>
              <w:t>Friday, October 25</w:t>
            </w:r>
            <w:r w:rsidRPr="0067361F" w:rsidR="00D148D6">
              <w:rPr>
                <w:sz w:val="22"/>
                <w:szCs w:val="22"/>
              </w:rPr>
              <w:t>, 201</w:t>
            </w:r>
            <w:r w:rsidRPr="0067361F" w:rsidR="000D7889">
              <w:rPr>
                <w:sz w:val="22"/>
                <w:szCs w:val="22"/>
              </w:rPr>
              <w:t>9</w:t>
            </w:r>
            <w:r w:rsidRPr="0067361F">
              <w:rPr>
                <w:sz w:val="22"/>
                <w:szCs w:val="22"/>
              </w:rPr>
              <w:t>:</w:t>
            </w:r>
          </w:p>
          <w:p w:rsidR="0016725B" w:rsidRPr="0067361F" w:rsidP="00A41840" w14:paraId="104A0B75" w14:textId="77777777">
            <w:pPr>
              <w:tabs>
                <w:tab w:val="left" w:pos="8640"/>
              </w:tabs>
              <w:rPr>
                <w:sz w:val="22"/>
                <w:szCs w:val="22"/>
              </w:rPr>
            </w:pPr>
          </w:p>
          <w:p w:rsidR="005137C1" w:rsidP="005137C1" w14:paraId="03A63E95" w14:textId="271D9D60">
            <w:pPr>
              <w:rPr>
                <w:sz w:val="22"/>
                <w:szCs w:val="22"/>
              </w:rPr>
            </w:pPr>
            <w:bookmarkStart w:id="1" w:name="_Hlk20479116"/>
            <w:r>
              <w:rPr>
                <w:b/>
                <w:bCs/>
                <w:sz w:val="22"/>
                <w:szCs w:val="22"/>
              </w:rPr>
              <w:t>Enforcing</w:t>
            </w:r>
            <w:r w:rsidR="00362849">
              <w:rPr>
                <w:b/>
                <w:bCs/>
                <w:sz w:val="22"/>
                <w:szCs w:val="22"/>
              </w:rPr>
              <w:t xml:space="preserve"> Rural</w:t>
            </w:r>
            <w:r w:rsidRPr="0067361F" w:rsidR="00362849">
              <w:rPr>
                <w:b/>
                <w:bCs/>
                <w:sz w:val="22"/>
                <w:szCs w:val="22"/>
              </w:rPr>
              <w:t xml:space="preserve"> Broadband</w:t>
            </w:r>
            <w:r>
              <w:rPr>
                <w:b/>
                <w:bCs/>
                <w:sz w:val="22"/>
                <w:szCs w:val="22"/>
              </w:rPr>
              <w:t xml:space="preserve"> Quality Standards</w:t>
            </w:r>
            <w:r w:rsidRPr="0067361F">
              <w:rPr>
                <w:b/>
                <w:bCs/>
                <w:sz w:val="22"/>
                <w:szCs w:val="22"/>
              </w:rPr>
              <w:t xml:space="preserve"> </w:t>
            </w:r>
            <w:bookmarkEnd w:id="1"/>
            <w:r w:rsidRPr="0067361F">
              <w:rPr>
                <w:sz w:val="22"/>
                <w:szCs w:val="22"/>
              </w:rPr>
              <w:t xml:space="preserve">– The Commission will consider an Order on Reconsideration that </w:t>
            </w:r>
            <w:r w:rsidR="007576D4">
              <w:rPr>
                <w:sz w:val="22"/>
                <w:szCs w:val="22"/>
              </w:rPr>
              <w:t xml:space="preserve">would </w:t>
            </w:r>
            <w:r w:rsidR="006C407A">
              <w:rPr>
                <w:sz w:val="22"/>
                <w:szCs w:val="22"/>
              </w:rPr>
              <w:t xml:space="preserve">ensure that carriers receiving high-cost universal service support to deploy rural broadband are accountable to consumers, taxpayers, and the Commission, while providing flexibility for smaller carriers, by </w:t>
            </w:r>
            <w:r w:rsidRPr="0067361F">
              <w:rPr>
                <w:sz w:val="22"/>
                <w:szCs w:val="22"/>
              </w:rPr>
              <w:t>mak</w:t>
            </w:r>
            <w:r w:rsidR="006C407A">
              <w:rPr>
                <w:sz w:val="22"/>
                <w:szCs w:val="22"/>
              </w:rPr>
              <w:t>ing</w:t>
            </w:r>
            <w:r w:rsidRPr="0067361F">
              <w:rPr>
                <w:sz w:val="22"/>
                <w:szCs w:val="22"/>
              </w:rPr>
              <w:t xml:space="preserve"> targeted modifications to the testing procedures that carriers must </w:t>
            </w:r>
            <w:r w:rsidR="006C407A">
              <w:rPr>
                <w:sz w:val="22"/>
                <w:szCs w:val="22"/>
              </w:rPr>
              <w:t xml:space="preserve">use to show that their networks </w:t>
            </w:r>
            <w:r w:rsidRPr="0067361F">
              <w:rPr>
                <w:sz w:val="22"/>
                <w:szCs w:val="22"/>
              </w:rPr>
              <w:t xml:space="preserve">perform </w:t>
            </w:r>
            <w:r w:rsidR="006C407A">
              <w:rPr>
                <w:sz w:val="22"/>
                <w:szCs w:val="22"/>
              </w:rPr>
              <w:t>at the Commission’s speed and latency standards</w:t>
            </w:r>
            <w:r w:rsidRPr="0067361F" w:rsidR="006C407A">
              <w:rPr>
                <w:sz w:val="22"/>
                <w:szCs w:val="22"/>
              </w:rPr>
              <w:t xml:space="preserve"> </w:t>
            </w:r>
            <w:r w:rsidRPr="0067361F">
              <w:rPr>
                <w:sz w:val="22"/>
                <w:szCs w:val="22"/>
              </w:rPr>
              <w:t>.  (WC Docket No. 10-90)</w:t>
            </w:r>
          </w:p>
          <w:p w:rsidR="002F1D7E" w:rsidP="005137C1" w14:paraId="42902B76" w14:textId="44324A01">
            <w:pPr>
              <w:rPr>
                <w:sz w:val="22"/>
                <w:szCs w:val="22"/>
              </w:rPr>
            </w:pPr>
          </w:p>
          <w:p w:rsidR="002F1D7E" w:rsidRPr="0067361F" w:rsidP="005137C1" w14:paraId="584DEC77" w14:textId="302497E0">
            <w:pPr>
              <w:rPr>
                <w:sz w:val="22"/>
                <w:szCs w:val="22"/>
              </w:rPr>
            </w:pPr>
            <w:r w:rsidRPr="009B01AA">
              <w:rPr>
                <w:b/>
                <w:sz w:val="22"/>
                <w:szCs w:val="22"/>
              </w:rPr>
              <w:t>911 Fee</w:t>
            </w:r>
            <w:r w:rsidRPr="009B01AA" w:rsidR="00530772">
              <w:rPr>
                <w:b/>
                <w:sz w:val="22"/>
                <w:szCs w:val="22"/>
              </w:rPr>
              <w:t xml:space="preserve"> Parity</w:t>
            </w:r>
            <w:r w:rsidRPr="002F1D7E">
              <w:rPr>
                <w:sz w:val="22"/>
                <w:szCs w:val="22"/>
              </w:rPr>
              <w:t xml:space="preserve"> – The Commission will consider a Declaratory Ruling that </w:t>
            </w:r>
            <w:r>
              <w:rPr>
                <w:sz w:val="22"/>
                <w:szCs w:val="22"/>
              </w:rPr>
              <w:t>would clarify</w:t>
            </w:r>
            <w:r w:rsidRPr="002F1D7E">
              <w:rPr>
                <w:sz w:val="22"/>
                <w:szCs w:val="22"/>
              </w:rPr>
              <w:t xml:space="preserve"> section 6(f)(1) of the New and Emerging Technologies 911 Improvement Act of 2008 and ensure regulatory parity in 911 fees between VoIP services and traditional telecommunications services.  (WC Docket No. 19-44)</w:t>
            </w:r>
          </w:p>
          <w:p w:rsidR="0016725B" w:rsidRPr="0067361F" w:rsidP="00A41840" w14:paraId="1BBB7AA6" w14:textId="77777777">
            <w:pPr>
              <w:tabs>
                <w:tab w:val="left" w:pos="8640"/>
              </w:tabs>
              <w:rPr>
                <w:b/>
                <w:sz w:val="22"/>
                <w:szCs w:val="22"/>
              </w:rPr>
            </w:pPr>
          </w:p>
          <w:p w:rsidR="001A0C24" w:rsidRPr="0067361F" w:rsidP="009262BF" w14:paraId="025D05B4" w14:textId="22795415">
            <w:pPr>
              <w:tabs>
                <w:tab w:val="center" w:pos="4680"/>
              </w:tabs>
              <w:suppressAutoHyphens/>
              <w:rPr>
                <w:sz w:val="22"/>
                <w:szCs w:val="22"/>
              </w:rPr>
            </w:pPr>
            <w:bookmarkStart w:id="2" w:name="_Hlk21074926"/>
            <w:r w:rsidRPr="0067361F">
              <w:rPr>
                <w:b/>
                <w:bCs/>
                <w:spacing w:val="-2"/>
                <w:sz w:val="22"/>
                <w:szCs w:val="22"/>
              </w:rPr>
              <w:t>Broadcast Antenna Sitin</w:t>
            </w:r>
            <w:r w:rsidRPr="0067361F" w:rsidR="009262BF">
              <w:rPr>
                <w:b/>
                <w:bCs/>
                <w:spacing w:val="-2"/>
                <w:sz w:val="22"/>
                <w:szCs w:val="22"/>
              </w:rPr>
              <w:t>g</w:t>
            </w:r>
            <w:r w:rsidRPr="0067361F" w:rsidR="009262BF">
              <w:rPr>
                <w:b/>
                <w:bCs/>
                <w:sz w:val="22"/>
                <w:szCs w:val="22"/>
              </w:rPr>
              <w:t xml:space="preserve"> </w:t>
            </w:r>
            <w:r w:rsidRPr="0067361F" w:rsidR="009262BF">
              <w:rPr>
                <w:sz w:val="22"/>
                <w:szCs w:val="22"/>
              </w:rPr>
              <w:t xml:space="preserve">– </w:t>
            </w:r>
            <w:r w:rsidRPr="0067361F">
              <w:rPr>
                <w:bCs/>
                <w:sz w:val="22"/>
                <w:szCs w:val="22"/>
              </w:rPr>
              <w:t xml:space="preserve">The Commission will consider a </w:t>
            </w:r>
            <w:r w:rsidRPr="0067361F">
              <w:rPr>
                <w:sz w:val="22"/>
                <w:szCs w:val="22"/>
              </w:rPr>
              <w:t xml:space="preserve">Notice of Proposed Rulemaking that </w:t>
            </w:r>
            <w:r w:rsidR="00530772">
              <w:rPr>
                <w:sz w:val="22"/>
                <w:szCs w:val="22"/>
              </w:rPr>
              <w:t xml:space="preserve">would </w:t>
            </w:r>
            <w:r w:rsidRPr="0067361F">
              <w:rPr>
                <w:sz w:val="22"/>
                <w:szCs w:val="22"/>
              </w:rPr>
              <w:t xml:space="preserve">seek comment on whether the common antenna siting rules for FM and TV broadcaster applicants and licensees </w:t>
            </w:r>
            <w:r w:rsidR="00C43A4F">
              <w:rPr>
                <w:sz w:val="22"/>
                <w:szCs w:val="22"/>
              </w:rPr>
              <w:t>dating back to 1945</w:t>
            </w:r>
            <w:r w:rsidR="009840EF">
              <w:rPr>
                <w:sz w:val="22"/>
                <w:szCs w:val="22"/>
              </w:rPr>
              <w:t xml:space="preserve"> </w:t>
            </w:r>
            <w:r w:rsidR="00530772">
              <w:rPr>
                <w:sz w:val="22"/>
                <w:szCs w:val="22"/>
              </w:rPr>
              <w:t>should be revised or eliminated</w:t>
            </w:r>
            <w:r w:rsidRPr="0067361F">
              <w:rPr>
                <w:sz w:val="22"/>
                <w:szCs w:val="22"/>
              </w:rPr>
              <w:t xml:space="preserve"> given the current broadcasting marketplace. </w:t>
            </w:r>
            <w:r w:rsidRPr="0067361F" w:rsidR="00B132AD">
              <w:rPr>
                <w:sz w:val="22"/>
                <w:szCs w:val="22"/>
              </w:rPr>
              <w:t>(</w:t>
            </w:r>
            <w:r w:rsidRPr="0067361F">
              <w:rPr>
                <w:sz w:val="22"/>
                <w:szCs w:val="22"/>
              </w:rPr>
              <w:t>MB Docket Nos. 19-282, 17-105</w:t>
            </w:r>
            <w:r w:rsidRPr="0067361F" w:rsidR="00B132AD">
              <w:rPr>
                <w:sz w:val="22"/>
                <w:szCs w:val="22"/>
              </w:rPr>
              <w:t>)</w:t>
            </w:r>
          </w:p>
          <w:p w:rsidR="00B132AD" w:rsidRPr="0067361F" w:rsidP="009262BF" w14:paraId="45B0843C" w14:textId="77777777">
            <w:pPr>
              <w:tabs>
                <w:tab w:val="center" w:pos="4680"/>
              </w:tabs>
              <w:suppressAutoHyphens/>
              <w:rPr>
                <w:spacing w:val="-2"/>
                <w:sz w:val="22"/>
                <w:szCs w:val="22"/>
              </w:rPr>
            </w:pPr>
          </w:p>
          <w:p w:rsidR="00B132AD" w:rsidRPr="0067361F" w:rsidP="00B132AD" w14:paraId="1FCDD455" w14:textId="59E29F73">
            <w:pPr>
              <w:tabs>
                <w:tab w:val="center" w:pos="4680"/>
              </w:tabs>
              <w:suppressAutoHyphens/>
              <w:rPr>
                <w:b/>
                <w:sz w:val="22"/>
                <w:szCs w:val="22"/>
              </w:rPr>
            </w:pPr>
            <w:r w:rsidRPr="0067361F">
              <w:rPr>
                <w:b/>
                <w:spacing w:val="-2"/>
                <w:sz w:val="22"/>
                <w:szCs w:val="22"/>
              </w:rPr>
              <w:t>Petition for Determination of Effective Competition</w:t>
            </w:r>
            <w:r w:rsidRPr="0067361F">
              <w:rPr>
                <w:b/>
                <w:sz w:val="22"/>
                <w:szCs w:val="22"/>
              </w:rPr>
              <w:t xml:space="preserve"> </w:t>
            </w:r>
            <w:r w:rsidRPr="0067361F">
              <w:rPr>
                <w:sz w:val="22"/>
                <w:szCs w:val="22"/>
              </w:rPr>
              <w:t xml:space="preserve">– The Commission will consider a Memorandum Opinion and Order that </w:t>
            </w:r>
            <w:r w:rsidR="00530772">
              <w:rPr>
                <w:sz w:val="22"/>
                <w:szCs w:val="22"/>
              </w:rPr>
              <w:t xml:space="preserve">would </w:t>
            </w:r>
            <w:r w:rsidRPr="0067361F">
              <w:rPr>
                <w:sz w:val="22"/>
                <w:szCs w:val="22"/>
              </w:rPr>
              <w:t>find that Charter faces effective competition</w:t>
            </w:r>
            <w:r w:rsidR="00530772">
              <w:rPr>
                <w:sz w:val="22"/>
                <w:szCs w:val="22"/>
              </w:rPr>
              <w:t xml:space="preserve"> from </w:t>
            </w:r>
            <w:r w:rsidR="0042527E">
              <w:rPr>
                <w:sz w:val="22"/>
                <w:szCs w:val="22"/>
              </w:rPr>
              <w:t>AT&amp;T’s online video streaming service</w:t>
            </w:r>
            <w:r w:rsidRPr="0067361F">
              <w:rPr>
                <w:sz w:val="22"/>
                <w:szCs w:val="22"/>
              </w:rPr>
              <w:t xml:space="preserve"> in franchise areas in Massachusetts and Hawaii. (MB Docket No. 18-283)</w:t>
            </w:r>
          </w:p>
          <w:bookmarkEnd w:id="2"/>
          <w:p w:rsidR="001A0C24" w:rsidRPr="0067361F" w:rsidP="00A41840" w14:paraId="365785E4" w14:textId="77777777">
            <w:pPr>
              <w:tabs>
                <w:tab w:val="left" w:pos="8640"/>
              </w:tabs>
              <w:rPr>
                <w:b/>
                <w:bCs/>
                <w:sz w:val="22"/>
                <w:szCs w:val="22"/>
              </w:rPr>
            </w:pPr>
          </w:p>
          <w:p w:rsidR="0016725B" w:rsidRPr="0067361F" w:rsidP="0016725B" w14:paraId="678BE8D3" w14:textId="77777777">
            <w:pPr>
              <w:rPr>
                <w:sz w:val="22"/>
                <w:szCs w:val="22"/>
              </w:rPr>
            </w:pPr>
            <w:r w:rsidRPr="0067361F">
              <w:rPr>
                <w:b/>
                <w:bCs/>
                <w:sz w:val="22"/>
                <w:szCs w:val="22"/>
              </w:rPr>
              <w:t>Tariff Rules Modernization</w:t>
            </w:r>
            <w:r w:rsidRPr="0067361F">
              <w:rPr>
                <w:sz w:val="22"/>
                <w:szCs w:val="22"/>
              </w:rPr>
              <w:t xml:space="preserve"> – The Commission will consider a Report and Order that would amend its tariffing rules to better align them with the reality of easy electronic access to tariff filings.  (WC Docket Nos. 18-276, 17-308)</w:t>
            </w:r>
          </w:p>
          <w:p w:rsidR="00A41840" w:rsidRPr="0067361F" w:rsidP="00A41840" w14:paraId="7D6FC67B" w14:textId="77777777">
            <w:pPr>
              <w:tabs>
                <w:tab w:val="left" w:pos="8640"/>
              </w:tabs>
              <w:rPr>
                <w:sz w:val="22"/>
                <w:szCs w:val="22"/>
              </w:rPr>
            </w:pPr>
          </w:p>
          <w:p w:rsidR="007D78C6" w:rsidRPr="0067361F" w:rsidP="007D78C6" w14:paraId="441E6919" w14:textId="243F9283">
            <w:pPr>
              <w:rPr>
                <w:color w:val="201F1E"/>
                <w:sz w:val="22"/>
                <w:szCs w:val="22"/>
                <w:shd w:val="clear" w:color="auto" w:fill="FFFFFF"/>
              </w:rPr>
            </w:pPr>
            <w:r>
              <w:rPr>
                <w:b/>
                <w:bCs/>
                <w:color w:val="201F1E"/>
                <w:sz w:val="22"/>
                <w:szCs w:val="22"/>
              </w:rPr>
              <w:t xml:space="preserve">Expediting the Conclusion of </w:t>
            </w:r>
            <w:r w:rsidR="00C43A4F">
              <w:rPr>
                <w:b/>
                <w:bCs/>
                <w:color w:val="201F1E"/>
                <w:sz w:val="22"/>
                <w:szCs w:val="22"/>
              </w:rPr>
              <w:t>the 800 MHz Band Reconfiguration</w:t>
            </w:r>
            <w:r w:rsidRPr="0067361F">
              <w:rPr>
                <w:color w:val="201F1E"/>
                <w:sz w:val="22"/>
                <w:szCs w:val="22"/>
                <w:shd w:val="clear" w:color="auto" w:fill="FFFFFF"/>
              </w:rPr>
              <w:t> – The Commission will consider an Order and Sixth Further Notice of Proposed Rulemaking that would streamline rules </w:t>
            </w:r>
            <w:r w:rsidRPr="0067361F">
              <w:rPr>
                <w:color w:val="201F1E"/>
                <w:sz w:val="22"/>
                <w:szCs w:val="22"/>
              </w:rPr>
              <w:t>and procedures</w:t>
            </w:r>
            <w:r w:rsidRPr="0067361F">
              <w:rPr>
                <w:color w:val="201F1E"/>
                <w:sz w:val="22"/>
                <w:szCs w:val="22"/>
                <w:shd w:val="clear" w:color="auto" w:fill="FFFFFF"/>
              </w:rPr>
              <w:t> to expedite</w:t>
            </w:r>
            <w:r w:rsidRPr="0067361F">
              <w:rPr>
                <w:color w:val="201F1E"/>
                <w:sz w:val="22"/>
                <w:szCs w:val="22"/>
              </w:rPr>
              <w:t> the successful</w:t>
            </w:r>
            <w:r w:rsidRPr="0067361F">
              <w:rPr>
                <w:color w:val="201F1E"/>
                <w:sz w:val="22"/>
                <w:szCs w:val="22"/>
                <w:shd w:val="clear" w:color="auto" w:fill="FFFFFF"/>
              </w:rPr>
              <w:t> completion of the 800 MHz band reconfiguration initiative, lower program costs and administrative burdens, and continue to alleviate interference to public safety licensees. (WT Docket No. 02-55).</w:t>
            </w:r>
          </w:p>
          <w:p w:rsidR="00D569AA" w:rsidRPr="0067361F" w:rsidP="00D569AA" w14:paraId="5DB2CD34" w14:textId="77777777">
            <w:pPr>
              <w:tabs>
                <w:tab w:val="left" w:pos="8640"/>
              </w:tabs>
              <w:rPr>
                <w:bCs/>
                <w:sz w:val="22"/>
                <w:szCs w:val="22"/>
              </w:rPr>
            </w:pPr>
          </w:p>
          <w:p w:rsidR="000363F3" w:rsidP="000363F3" w14:paraId="2F773E06" w14:textId="77777777">
            <w:pPr>
              <w:tabs>
                <w:tab w:val="left" w:pos="8640"/>
              </w:tabs>
              <w:rPr>
                <w:bCs/>
                <w:sz w:val="22"/>
                <w:szCs w:val="22"/>
              </w:rPr>
            </w:pPr>
            <w:r w:rsidRPr="00D569AA">
              <w:rPr>
                <w:bCs/>
                <w:sz w:val="22"/>
                <w:szCs w:val="22"/>
              </w:rPr>
              <w:t xml:space="preserve">Public Drafts of Meeting Items – The FCC publicly releases the draft text of each item expected to be considered at the next Open Commission Meeting.  One-page cover sheets are included in the public drafts to help summarize each item.  All these materials will be available on the FCC’s Open Meeting page: </w:t>
            </w:r>
            <w:hyperlink r:id="rId5" w:history="1">
              <w:r w:rsidRPr="000B4CA4">
                <w:rPr>
                  <w:rStyle w:val="Hyperlink"/>
                  <w:sz w:val="22"/>
                  <w:szCs w:val="22"/>
                </w:rPr>
                <w:t>www.fcc.gov/openmeeting</w:t>
              </w:r>
            </w:hyperlink>
            <w:r w:rsidRPr="00D569AA">
              <w:rPr>
                <w:bCs/>
                <w:sz w:val="22"/>
                <w:szCs w:val="22"/>
              </w:rPr>
              <w:t>.</w:t>
            </w:r>
          </w:p>
          <w:p w:rsidR="000363F3" w:rsidRPr="00D569AA" w:rsidP="000363F3" w14:paraId="0C9348DF" w14:textId="77777777">
            <w:pPr>
              <w:tabs>
                <w:tab w:val="left" w:pos="8640"/>
              </w:tabs>
              <w:rPr>
                <w:bCs/>
                <w:sz w:val="22"/>
                <w:szCs w:val="22"/>
              </w:rPr>
            </w:pPr>
          </w:p>
          <w:p w:rsidR="00D569AA" w:rsidRPr="0067361F" w:rsidP="00D569AA" w14:paraId="095F3A94" w14:textId="77777777">
            <w:pPr>
              <w:tabs>
                <w:tab w:val="left" w:pos="8640"/>
              </w:tabs>
              <w:rPr>
                <w:bCs/>
                <w:sz w:val="22"/>
                <w:szCs w:val="22"/>
              </w:rPr>
            </w:pPr>
            <w:r w:rsidRPr="0067361F">
              <w:rPr>
                <w:bCs/>
                <w:sz w:val="22"/>
                <w:szCs w:val="22"/>
              </w:rPr>
              <w:t xml:space="preserve">The Open Meeting is scheduled to commence at 10:30 a.m. EDT in the Commission Meeting Room (Room TW-C305) of the Federal Communications Commission, 445 12th Street, S.W., Washington, D.C.  While the Open Meeting is open to the public, the FCC headquarters building is not open access, and all guests must check in with and be screened by FCC security at the main entrance on 12th Street.  Open Meetings are streamed live at </w:t>
            </w:r>
            <w:hyperlink r:id="rId6" w:history="1">
              <w:r w:rsidRPr="0067361F">
                <w:rPr>
                  <w:rStyle w:val="Hyperlink"/>
                  <w:sz w:val="22"/>
                  <w:szCs w:val="22"/>
                </w:rPr>
                <w:t>www.fcc.gov/live</w:t>
              </w:r>
            </w:hyperlink>
            <w:r w:rsidRPr="0067361F">
              <w:rPr>
                <w:bCs/>
                <w:sz w:val="22"/>
                <w:szCs w:val="22"/>
              </w:rPr>
              <w:t xml:space="preserve"> and can be followed on social media with #OpenMtgFCC.</w:t>
            </w:r>
          </w:p>
          <w:p w:rsidR="00D569AA" w:rsidRPr="0067361F" w:rsidP="00D569AA" w14:paraId="2556EFA6" w14:textId="77777777">
            <w:pPr>
              <w:tabs>
                <w:tab w:val="left" w:pos="8640"/>
              </w:tabs>
              <w:rPr>
                <w:bCs/>
                <w:sz w:val="22"/>
                <w:szCs w:val="22"/>
              </w:rPr>
            </w:pPr>
          </w:p>
          <w:p w:rsidR="00323539" w:rsidRPr="0067361F" w:rsidP="00D569AA" w14:paraId="13346968" w14:textId="77777777">
            <w:pPr>
              <w:tabs>
                <w:tab w:val="left" w:pos="8640"/>
              </w:tabs>
              <w:rPr>
                <w:rStyle w:val="Hyperlink"/>
                <w:bCs/>
                <w:color w:val="auto"/>
                <w:sz w:val="22"/>
                <w:szCs w:val="22"/>
                <w:u w:val="none"/>
              </w:rPr>
            </w:pPr>
            <w:r w:rsidRPr="0067361F">
              <w:rPr>
                <w:bCs/>
                <w:sz w:val="22"/>
                <w:szCs w:val="22"/>
              </w:rPr>
              <w:t xml:space="preserve">Press Access – Members of the news media are welcome to attend the meeting and will be provided reserved seating on a first-come, first-served basis.  Following the meeting, the Chairman may hold a news conference in which he will take questions from credentialed members of the press.  Afterwards, senior policy and legal staff will be made available to the press for questions related to the items on the meeting agenda.  Commissioners may also choose to hold press conferences.  Press may also direct questions to the Office of Media Relations (OMR).  Questions about credentialing should be directed to OMR.        </w:t>
            </w:r>
            <w:r w:rsidRPr="0067361F">
              <w:rPr>
                <w:sz w:val="22"/>
                <w:szCs w:val="22"/>
              </w:rPr>
              <w:t xml:space="preserve">    </w:t>
            </w:r>
          </w:p>
          <w:p w:rsidR="00BD19E8" w:rsidRPr="0067361F" w:rsidP="00E349AA" w14:paraId="5CBC73CD" w14:textId="77777777">
            <w:pPr>
              <w:jc w:val="both"/>
              <w:rPr>
                <w:rStyle w:val="Hyperlink"/>
                <w:sz w:val="22"/>
                <w:szCs w:val="22"/>
              </w:rPr>
            </w:pPr>
          </w:p>
          <w:p w:rsidR="004F0F1F" w:rsidRPr="00641CD8" w:rsidP="00B47F70" w14:paraId="44B36214" w14:textId="77777777">
            <w:pPr>
              <w:ind w:right="72"/>
              <w:jc w:val="center"/>
              <w:rPr>
                <w:sz w:val="22"/>
                <w:szCs w:val="22"/>
              </w:rPr>
            </w:pPr>
            <w:r w:rsidRPr="00641CD8">
              <w:rPr>
                <w:sz w:val="22"/>
                <w:szCs w:val="22"/>
              </w:rPr>
              <w:t>###</w:t>
            </w:r>
          </w:p>
          <w:p w:rsidR="00473441" w:rsidRPr="0080486B" w:rsidP="00473441" w14:paraId="30C6749B" w14:textId="77777777">
            <w:pPr>
              <w:ind w:right="72"/>
              <w:jc w:val="center"/>
              <w:rPr>
                <w:rStyle w:val="Hyperlink"/>
                <w:b/>
                <w:bCs/>
                <w:color w:val="auto"/>
                <w:sz w:val="17"/>
                <w:szCs w:val="17"/>
              </w:rPr>
            </w:pPr>
            <w:r w:rsidRPr="004A729A">
              <w:rPr>
                <w:b/>
                <w:bCs/>
                <w:sz w:val="22"/>
                <w:szCs w:val="22"/>
              </w:rPr>
              <w:br/>
            </w:r>
            <w:r w:rsidRPr="0080486B">
              <w:rPr>
                <w:b/>
                <w:bCs/>
                <w:sz w:val="17"/>
                <w:szCs w:val="17"/>
              </w:rPr>
              <w:t xml:space="preserve">Media Relations: (202) 418-0500 / ASL: (844) 432-2275 / TTY: (888) 835-5322 / Twitter: @FCC / </w:t>
            </w:r>
            <w:r w:rsidRPr="0080486B">
              <w:rPr>
                <w:b/>
                <w:sz w:val="17"/>
                <w:szCs w:val="17"/>
              </w:rPr>
              <w:t>www.fcc.gov</w:t>
            </w:r>
            <w:r w:rsidRPr="0080486B">
              <w:rPr>
                <w:b/>
                <w:bCs/>
                <w:sz w:val="17"/>
                <w:szCs w:val="17"/>
              </w:rPr>
              <w:t xml:space="preserve"> </w:t>
            </w:r>
          </w:p>
          <w:p w:rsidR="00473441" w:rsidRPr="00EE0E90" w:rsidP="00473441" w14:paraId="487421E5" w14:textId="77777777">
            <w:pPr>
              <w:ind w:right="72"/>
              <w:jc w:val="center"/>
              <w:rPr>
                <w:b/>
                <w:bCs/>
                <w:sz w:val="18"/>
                <w:szCs w:val="18"/>
              </w:rPr>
            </w:pPr>
          </w:p>
          <w:p w:rsidR="00EE0E90" w:rsidRPr="00E644FE" w:rsidP="00473441" w14:paraId="2A4521E3" w14:textId="77777777">
            <w:pPr>
              <w:ind w:left="360" w:right="498"/>
              <w:jc w:val="center"/>
              <w:rPr>
                <w:b/>
                <w:bCs/>
                <w:sz w:val="18"/>
                <w:szCs w:val="18"/>
              </w:rPr>
            </w:pPr>
            <w:r w:rsidRPr="00EF729B">
              <w:rPr>
                <w:bCs/>
                <w:i/>
                <w:sz w:val="16"/>
                <w:szCs w:val="16"/>
              </w:rPr>
              <w:t>This is an unofficial announcement of Commission action.  Release of the full text of a Commission order constitutes official action.  See MCI v. FCC, 515 F.2d 385 (D.C. Cir. 1974).</w:t>
            </w:r>
          </w:p>
        </w:tc>
      </w:tr>
    </w:tbl>
    <w:p w:rsidR="004F0F1F" w14:paraId="4818F81F" w14:textId="77777777">
      <w:pPr>
        <w:rPr>
          <w:b/>
          <w:bCs/>
          <w:sz w:val="32"/>
          <w:szCs w:val="32"/>
        </w:rPr>
      </w:pPr>
    </w:p>
    <w:p w:rsidR="00D24C3D" w14:paraId="00F39322" w14:textId="77777777">
      <w:pPr>
        <w:rPr>
          <w:b/>
          <w:bCs/>
          <w:sz w:val="32"/>
          <w:szCs w:val="32"/>
        </w:rPr>
      </w:pPr>
    </w:p>
    <w:sectPr w:rsidSect="00641CD8">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D2848F0"/>
    <w:multiLevelType w:val="hybridMultilevel"/>
    <w:tmpl w:val="22A0C4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2">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0B"/>
    <w:rsid w:val="0002500C"/>
    <w:rsid w:val="000311FC"/>
    <w:rsid w:val="000363F3"/>
    <w:rsid w:val="00081232"/>
    <w:rsid w:val="00091E65"/>
    <w:rsid w:val="00096D4A"/>
    <w:rsid w:val="000A38EA"/>
    <w:rsid w:val="000A56AE"/>
    <w:rsid w:val="000B4CA4"/>
    <w:rsid w:val="000C1E47"/>
    <w:rsid w:val="000C26F3"/>
    <w:rsid w:val="000D3B0D"/>
    <w:rsid w:val="000D7889"/>
    <w:rsid w:val="0010799B"/>
    <w:rsid w:val="00117DB2"/>
    <w:rsid w:val="00123ED2"/>
    <w:rsid w:val="00125BE0"/>
    <w:rsid w:val="00142384"/>
    <w:rsid w:val="00142C13"/>
    <w:rsid w:val="00152776"/>
    <w:rsid w:val="00153222"/>
    <w:rsid w:val="001577D3"/>
    <w:rsid w:val="0016725B"/>
    <w:rsid w:val="001733A6"/>
    <w:rsid w:val="001865A9"/>
    <w:rsid w:val="00187DB2"/>
    <w:rsid w:val="001A0C24"/>
    <w:rsid w:val="001B20BB"/>
    <w:rsid w:val="001C4370"/>
    <w:rsid w:val="001D3779"/>
    <w:rsid w:val="001F0469"/>
    <w:rsid w:val="00203403"/>
    <w:rsid w:val="00203A98"/>
    <w:rsid w:val="00206EDD"/>
    <w:rsid w:val="0021247E"/>
    <w:rsid w:val="002146F6"/>
    <w:rsid w:val="00231C32"/>
    <w:rsid w:val="00240345"/>
    <w:rsid w:val="002421F0"/>
    <w:rsid w:val="00247274"/>
    <w:rsid w:val="00253C6B"/>
    <w:rsid w:val="00254BCC"/>
    <w:rsid w:val="00266966"/>
    <w:rsid w:val="002819BC"/>
    <w:rsid w:val="002845C6"/>
    <w:rsid w:val="00294C0C"/>
    <w:rsid w:val="002A0934"/>
    <w:rsid w:val="002B1013"/>
    <w:rsid w:val="002D03E5"/>
    <w:rsid w:val="002E3F1D"/>
    <w:rsid w:val="002F1D7E"/>
    <w:rsid w:val="002F29F4"/>
    <w:rsid w:val="002F31D0"/>
    <w:rsid w:val="00300359"/>
    <w:rsid w:val="0031773E"/>
    <w:rsid w:val="00323539"/>
    <w:rsid w:val="00347716"/>
    <w:rsid w:val="003506E1"/>
    <w:rsid w:val="0036060D"/>
    <w:rsid w:val="00362849"/>
    <w:rsid w:val="00385A93"/>
    <w:rsid w:val="003910F1"/>
    <w:rsid w:val="003B7791"/>
    <w:rsid w:val="003E42FC"/>
    <w:rsid w:val="003E5991"/>
    <w:rsid w:val="003F344A"/>
    <w:rsid w:val="00403FF0"/>
    <w:rsid w:val="0042046D"/>
    <w:rsid w:val="0042527E"/>
    <w:rsid w:val="00425AEF"/>
    <w:rsid w:val="00426518"/>
    <w:rsid w:val="00427B06"/>
    <w:rsid w:val="00427BE4"/>
    <w:rsid w:val="00441F59"/>
    <w:rsid w:val="00444E07"/>
    <w:rsid w:val="00444FA9"/>
    <w:rsid w:val="00473441"/>
    <w:rsid w:val="00473E9C"/>
    <w:rsid w:val="00480099"/>
    <w:rsid w:val="00497858"/>
    <w:rsid w:val="004A729A"/>
    <w:rsid w:val="004B4FEA"/>
    <w:rsid w:val="004C0ADA"/>
    <w:rsid w:val="004C433E"/>
    <w:rsid w:val="004C4512"/>
    <w:rsid w:val="004C4F36"/>
    <w:rsid w:val="004D3D85"/>
    <w:rsid w:val="004E2BD8"/>
    <w:rsid w:val="004E371A"/>
    <w:rsid w:val="004F0F1F"/>
    <w:rsid w:val="005022AA"/>
    <w:rsid w:val="00504845"/>
    <w:rsid w:val="0050757F"/>
    <w:rsid w:val="005137C1"/>
    <w:rsid w:val="00516AD2"/>
    <w:rsid w:val="00530772"/>
    <w:rsid w:val="00533108"/>
    <w:rsid w:val="00545DAE"/>
    <w:rsid w:val="005556E8"/>
    <w:rsid w:val="00571B83"/>
    <w:rsid w:val="00575A00"/>
    <w:rsid w:val="0058673C"/>
    <w:rsid w:val="00596CFF"/>
    <w:rsid w:val="005A7407"/>
    <w:rsid w:val="005A7972"/>
    <w:rsid w:val="005B17E7"/>
    <w:rsid w:val="005B2643"/>
    <w:rsid w:val="005B578D"/>
    <w:rsid w:val="005D17FD"/>
    <w:rsid w:val="005D4BBA"/>
    <w:rsid w:val="005F0D55"/>
    <w:rsid w:val="005F183E"/>
    <w:rsid w:val="00600DDA"/>
    <w:rsid w:val="00604211"/>
    <w:rsid w:val="00607431"/>
    <w:rsid w:val="00613498"/>
    <w:rsid w:val="006151B6"/>
    <w:rsid w:val="00617B94"/>
    <w:rsid w:val="00620BED"/>
    <w:rsid w:val="006415B4"/>
    <w:rsid w:val="00641CD8"/>
    <w:rsid w:val="00644E3D"/>
    <w:rsid w:val="00651B9E"/>
    <w:rsid w:val="00652019"/>
    <w:rsid w:val="00653A2D"/>
    <w:rsid w:val="00657EC9"/>
    <w:rsid w:val="00665633"/>
    <w:rsid w:val="0067361F"/>
    <w:rsid w:val="00674C86"/>
    <w:rsid w:val="0068015E"/>
    <w:rsid w:val="006861AB"/>
    <w:rsid w:val="00686B89"/>
    <w:rsid w:val="00694685"/>
    <w:rsid w:val="00695ADC"/>
    <w:rsid w:val="006A2FC5"/>
    <w:rsid w:val="006A7D75"/>
    <w:rsid w:val="006B0A70"/>
    <w:rsid w:val="006B606A"/>
    <w:rsid w:val="006C2893"/>
    <w:rsid w:val="006C33AF"/>
    <w:rsid w:val="006C407A"/>
    <w:rsid w:val="006C6148"/>
    <w:rsid w:val="006D5D22"/>
    <w:rsid w:val="006E0324"/>
    <w:rsid w:val="006E4A76"/>
    <w:rsid w:val="006F1DBD"/>
    <w:rsid w:val="006F49AA"/>
    <w:rsid w:val="00700556"/>
    <w:rsid w:val="007167DD"/>
    <w:rsid w:val="0072478B"/>
    <w:rsid w:val="0073414D"/>
    <w:rsid w:val="0075235E"/>
    <w:rsid w:val="007576D4"/>
    <w:rsid w:val="00767BA3"/>
    <w:rsid w:val="007732CC"/>
    <w:rsid w:val="00774079"/>
    <w:rsid w:val="0077752B"/>
    <w:rsid w:val="00793D6F"/>
    <w:rsid w:val="00794090"/>
    <w:rsid w:val="007A44F8"/>
    <w:rsid w:val="007C1DE0"/>
    <w:rsid w:val="007D21BF"/>
    <w:rsid w:val="007D78C6"/>
    <w:rsid w:val="007F3C12"/>
    <w:rsid w:val="007F5205"/>
    <w:rsid w:val="0080486B"/>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4419"/>
    <w:rsid w:val="008E55A2"/>
    <w:rsid w:val="008F1609"/>
    <w:rsid w:val="008F78D8"/>
    <w:rsid w:val="00902B59"/>
    <w:rsid w:val="00922D85"/>
    <w:rsid w:val="009262BF"/>
    <w:rsid w:val="009330DA"/>
    <w:rsid w:val="00961620"/>
    <w:rsid w:val="009734B6"/>
    <w:rsid w:val="0098096F"/>
    <w:rsid w:val="009840EF"/>
    <w:rsid w:val="0098437A"/>
    <w:rsid w:val="00986C92"/>
    <w:rsid w:val="00993C47"/>
    <w:rsid w:val="009A5E3A"/>
    <w:rsid w:val="009B01AA"/>
    <w:rsid w:val="009B4B16"/>
    <w:rsid w:val="009E54A1"/>
    <w:rsid w:val="009F4E25"/>
    <w:rsid w:val="009F5B1F"/>
    <w:rsid w:val="00A27E96"/>
    <w:rsid w:val="00A35DFD"/>
    <w:rsid w:val="00A41840"/>
    <w:rsid w:val="00A702DF"/>
    <w:rsid w:val="00A775A3"/>
    <w:rsid w:val="00A81B5B"/>
    <w:rsid w:val="00A82FAD"/>
    <w:rsid w:val="00A9673A"/>
    <w:rsid w:val="00A96EF2"/>
    <w:rsid w:val="00AA3AB9"/>
    <w:rsid w:val="00AA5C35"/>
    <w:rsid w:val="00AA5ED9"/>
    <w:rsid w:val="00AC4E0E"/>
    <w:rsid w:val="00AC517B"/>
    <w:rsid w:val="00AE0B8F"/>
    <w:rsid w:val="00AE4055"/>
    <w:rsid w:val="00AE4A3A"/>
    <w:rsid w:val="00AF051B"/>
    <w:rsid w:val="00B019E9"/>
    <w:rsid w:val="00B03497"/>
    <w:rsid w:val="00B037A2"/>
    <w:rsid w:val="00B03974"/>
    <w:rsid w:val="00B132AD"/>
    <w:rsid w:val="00B31870"/>
    <w:rsid w:val="00B35EE2"/>
    <w:rsid w:val="00B36DEF"/>
    <w:rsid w:val="00B47F70"/>
    <w:rsid w:val="00B57131"/>
    <w:rsid w:val="00B62F2C"/>
    <w:rsid w:val="00B727C9"/>
    <w:rsid w:val="00B735C8"/>
    <w:rsid w:val="00B767E1"/>
    <w:rsid w:val="00B76A63"/>
    <w:rsid w:val="00BA6350"/>
    <w:rsid w:val="00BB4E29"/>
    <w:rsid w:val="00BB74C9"/>
    <w:rsid w:val="00BC3AB6"/>
    <w:rsid w:val="00BD19E8"/>
    <w:rsid w:val="00BD4273"/>
    <w:rsid w:val="00C26DBB"/>
    <w:rsid w:val="00C432E4"/>
    <w:rsid w:val="00C43A4F"/>
    <w:rsid w:val="00C70C26"/>
    <w:rsid w:val="00C72001"/>
    <w:rsid w:val="00C772B7"/>
    <w:rsid w:val="00C80347"/>
    <w:rsid w:val="00CB7C1A"/>
    <w:rsid w:val="00CC4108"/>
    <w:rsid w:val="00CC5E08"/>
    <w:rsid w:val="00CF6860"/>
    <w:rsid w:val="00D02AC6"/>
    <w:rsid w:val="00D03F0C"/>
    <w:rsid w:val="00D04312"/>
    <w:rsid w:val="00D148D6"/>
    <w:rsid w:val="00D16A7F"/>
    <w:rsid w:val="00D16AD2"/>
    <w:rsid w:val="00D22596"/>
    <w:rsid w:val="00D22691"/>
    <w:rsid w:val="00D24C3D"/>
    <w:rsid w:val="00D46CB1"/>
    <w:rsid w:val="00D569AA"/>
    <w:rsid w:val="00D723F0"/>
    <w:rsid w:val="00D8133F"/>
    <w:rsid w:val="00D95B05"/>
    <w:rsid w:val="00D97E2D"/>
    <w:rsid w:val="00DA103D"/>
    <w:rsid w:val="00DA45D3"/>
    <w:rsid w:val="00DA4772"/>
    <w:rsid w:val="00DB2667"/>
    <w:rsid w:val="00DB67B7"/>
    <w:rsid w:val="00DC15A9"/>
    <w:rsid w:val="00DC40AA"/>
    <w:rsid w:val="00DD1750"/>
    <w:rsid w:val="00DD7CD8"/>
    <w:rsid w:val="00E134E2"/>
    <w:rsid w:val="00E3380B"/>
    <w:rsid w:val="00E349AA"/>
    <w:rsid w:val="00E34E3F"/>
    <w:rsid w:val="00E367D1"/>
    <w:rsid w:val="00E41390"/>
    <w:rsid w:val="00E41CA0"/>
    <w:rsid w:val="00E4366B"/>
    <w:rsid w:val="00E50A4A"/>
    <w:rsid w:val="00E606DE"/>
    <w:rsid w:val="00E644FE"/>
    <w:rsid w:val="00E72733"/>
    <w:rsid w:val="00E742FA"/>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EEBAA2FF-3097-4845-A4BA-B22318C0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569AA"/>
    <w:rPr>
      <w:color w:val="808080"/>
      <w:shd w:val="clear" w:color="auto" w:fill="E6E6E6"/>
    </w:rPr>
  </w:style>
  <w:style w:type="paragraph" w:styleId="BalloonText">
    <w:name w:val="Balloon Text"/>
    <w:basedOn w:val="Normal"/>
    <w:link w:val="BalloonTextChar"/>
    <w:semiHidden/>
    <w:unhideWhenUsed/>
    <w:rsid w:val="00E3380B"/>
    <w:rPr>
      <w:rFonts w:ascii="Segoe UI" w:hAnsi="Segoe UI" w:cs="Segoe UI"/>
      <w:sz w:val="18"/>
      <w:szCs w:val="18"/>
    </w:rPr>
  </w:style>
  <w:style w:type="character" w:customStyle="1" w:styleId="BalloonTextChar">
    <w:name w:val="Balloon Text Char"/>
    <w:basedOn w:val="DefaultParagraphFont"/>
    <w:link w:val="BalloonText"/>
    <w:semiHidden/>
    <w:rsid w:val="00E3380B"/>
    <w:rPr>
      <w:rFonts w:ascii="Segoe UI" w:hAnsi="Segoe UI" w:cs="Segoe UI"/>
      <w:sz w:val="18"/>
      <w:szCs w:val="18"/>
    </w:rPr>
  </w:style>
  <w:style w:type="paragraph" w:styleId="ListParagraph">
    <w:name w:val="List Paragraph"/>
    <w:basedOn w:val="Normal"/>
    <w:uiPriority w:val="34"/>
    <w:qFormat/>
    <w:rsid w:val="007D78C6"/>
    <w:pPr>
      <w:ind w:left="720"/>
    </w:pPr>
    <w:rPr>
      <w:rFonts w:ascii="Calibri" w:hAnsi="Calibri" w:eastAsiaTheme="minorHAnsi" w:cs="Calibri"/>
      <w:sz w:val="22"/>
      <w:szCs w:val="22"/>
    </w:rPr>
  </w:style>
  <w:style w:type="character" w:styleId="CommentReference">
    <w:name w:val="annotation reference"/>
    <w:basedOn w:val="DefaultParagraphFont"/>
    <w:semiHidden/>
    <w:unhideWhenUsed/>
    <w:rsid w:val="00203403"/>
    <w:rPr>
      <w:sz w:val="16"/>
      <w:szCs w:val="16"/>
    </w:rPr>
  </w:style>
  <w:style w:type="paragraph" w:styleId="CommentText">
    <w:name w:val="annotation text"/>
    <w:basedOn w:val="Normal"/>
    <w:link w:val="CommentTextChar"/>
    <w:semiHidden/>
    <w:unhideWhenUsed/>
    <w:rsid w:val="00203403"/>
    <w:rPr>
      <w:sz w:val="20"/>
      <w:szCs w:val="20"/>
    </w:rPr>
  </w:style>
  <w:style w:type="character" w:customStyle="1" w:styleId="CommentTextChar">
    <w:name w:val="Comment Text Char"/>
    <w:basedOn w:val="DefaultParagraphFont"/>
    <w:link w:val="CommentText"/>
    <w:semiHidden/>
    <w:rsid w:val="00203403"/>
  </w:style>
  <w:style w:type="paragraph" w:styleId="CommentSubject">
    <w:name w:val="annotation subject"/>
    <w:basedOn w:val="CommentText"/>
    <w:next w:val="CommentText"/>
    <w:link w:val="CommentSubjectChar"/>
    <w:semiHidden/>
    <w:unhideWhenUsed/>
    <w:rsid w:val="00203403"/>
    <w:rPr>
      <w:b/>
      <w:bCs/>
    </w:rPr>
  </w:style>
  <w:style w:type="character" w:customStyle="1" w:styleId="CommentSubjectChar">
    <w:name w:val="Comment Subject Char"/>
    <w:basedOn w:val="CommentTextChar"/>
    <w:link w:val="CommentSubject"/>
    <w:semiHidden/>
    <w:rsid w:val="00203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www.fcc.gov/openmeeting" TargetMode="External" /><Relationship Id="rId6" Type="http://schemas.openxmlformats.org/officeDocument/2006/relationships/hyperlink" Target="http://www.fcc.gov/live"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