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05514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Rochelle Cohen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1162</w:t>
            </w:r>
          </w:p>
          <w:p w:rsidR="00FF232D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Rochelle.cohen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C37BED">
              <w:rPr>
                <w:b/>
                <w:bCs/>
                <w:sz w:val="26"/>
                <w:szCs w:val="26"/>
                <w:lang w:val="en-US" w:eastAsia="en-US" w:bidi="ar-SA"/>
              </w:rPr>
              <w:t>ACTS</w:t>
            </w:r>
            <w:r w:rsidR="00A7772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TO </w:t>
            </w:r>
            <w:r w:rsidR="00BF5A88">
              <w:rPr>
                <w:b/>
                <w:bCs/>
                <w:sz w:val="26"/>
                <w:szCs w:val="26"/>
                <w:lang w:val="en-US" w:eastAsia="en-US" w:bidi="ar-SA"/>
              </w:rPr>
              <w:t>ACCELERATE</w:t>
            </w:r>
            <w:r w:rsidR="00A7772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THE SUCCESSFUL CONCLUSION OF THE </w:t>
            </w:r>
            <w:r w:rsidR="00BF5A88">
              <w:rPr>
                <w:b/>
                <w:bCs/>
                <w:sz w:val="26"/>
                <w:szCs w:val="26"/>
                <w:lang w:val="en-US" w:eastAsia="en-US" w:bidi="ar-SA"/>
              </w:rPr>
              <w:t>800 MHz REBANDING PROCESS</w:t>
            </w:r>
          </w:p>
          <w:p w:rsidR="005A5B2F" w:rsidRPr="005A5B2F" w:rsidP="00E8263F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800 MHz Initiative</w:t>
            </w:r>
            <w:r w:rsidRPr="005A5B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Supports </w:t>
            </w:r>
            <w:r w:rsidR="00DF23F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Interference-Free </w:t>
            </w:r>
            <w:r w:rsidRPr="005A5B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Public Safety Communications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RPr="002E165B" w:rsidP="002E165B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2E165B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3D0289">
              <w:rPr>
                <w:sz w:val="22"/>
                <w:szCs w:val="22"/>
                <w:lang w:val="en-US" w:eastAsia="en-US" w:bidi="ar-SA"/>
              </w:rPr>
              <w:t xml:space="preserve">October </w:t>
            </w:r>
            <w:r w:rsidR="00B339A2">
              <w:rPr>
                <w:sz w:val="22"/>
                <w:szCs w:val="22"/>
                <w:lang w:val="en-US" w:eastAsia="en-US" w:bidi="ar-SA"/>
              </w:rPr>
              <w:t>25</w:t>
            </w:r>
            <w:r w:rsidRPr="002E165B" w:rsidR="00065E2D">
              <w:rPr>
                <w:sz w:val="22"/>
                <w:szCs w:val="22"/>
                <w:lang w:val="en-US" w:eastAsia="en-US" w:bidi="ar-SA"/>
              </w:rPr>
              <w:t>, 201</w:t>
            </w:r>
            <w:r w:rsidRPr="002E165B" w:rsidR="007475A1">
              <w:rPr>
                <w:sz w:val="22"/>
                <w:szCs w:val="22"/>
                <w:lang w:val="en-US" w:eastAsia="en-US" w:bidi="ar-SA"/>
              </w:rPr>
              <w:t>9</w:t>
            </w:r>
            <w:r w:rsidRPr="002E165B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2E165B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F5A88">
              <w:rPr>
                <w:sz w:val="22"/>
                <w:szCs w:val="22"/>
                <w:lang w:val="en-US" w:eastAsia="en-US" w:bidi="ar-SA"/>
              </w:rPr>
              <w:t xml:space="preserve">streamlined rules and procedures to </w:t>
            </w:r>
            <w:r w:rsidR="00AE6DC6">
              <w:rPr>
                <w:sz w:val="22"/>
                <w:szCs w:val="22"/>
                <w:lang w:val="en-US" w:eastAsia="en-US" w:bidi="ar-SA"/>
              </w:rPr>
              <w:t xml:space="preserve">reduce administrative costs and </w:t>
            </w:r>
            <w:r w:rsidR="00BF5A88">
              <w:rPr>
                <w:sz w:val="22"/>
                <w:szCs w:val="22"/>
                <w:lang w:val="en-US" w:eastAsia="en-US" w:bidi="ar-SA"/>
              </w:rPr>
              <w:t>accelerate the successful conclusion of its 800 MHz band reconfiguration program,</w:t>
            </w:r>
            <w:r w:rsidR="005A5B2F">
              <w:rPr>
                <w:sz w:val="22"/>
                <w:szCs w:val="22"/>
                <w:lang w:val="en-US" w:eastAsia="en-US" w:bidi="ar-SA"/>
              </w:rPr>
              <w:t xml:space="preserve"> which was designed to enable public safety, critical infrastructure, and other licensees in the band to operate free of the interference that </w:t>
            </w:r>
            <w:r w:rsidR="00BA37F6">
              <w:rPr>
                <w:sz w:val="22"/>
                <w:szCs w:val="22"/>
                <w:lang w:val="en-US" w:eastAsia="en-US" w:bidi="ar-SA"/>
              </w:rPr>
              <w:t xml:space="preserve">previously </w:t>
            </w:r>
            <w:r w:rsidR="005A5B2F">
              <w:rPr>
                <w:sz w:val="22"/>
                <w:szCs w:val="22"/>
                <w:lang w:val="en-US" w:eastAsia="en-US" w:bidi="ar-SA"/>
              </w:rPr>
              <w:t>plagued first responder</w:t>
            </w:r>
            <w:r w:rsidR="00BA37F6">
              <w:rPr>
                <w:sz w:val="22"/>
                <w:szCs w:val="22"/>
                <w:lang w:val="en-US" w:eastAsia="en-US" w:bidi="ar-SA"/>
              </w:rPr>
              <w:t xml:space="preserve"> communications</w:t>
            </w:r>
            <w:r w:rsidR="005A5B2F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040127" w:rsidRPr="002E165B" w:rsidP="002E165B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F5A88" w:rsidRPr="00BF5A88" w:rsidP="00BF5A8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In 2004, t</w:t>
            </w:r>
            <w:r w:rsidR="000C5789">
              <w:rPr>
                <w:sz w:val="22"/>
                <w:szCs w:val="22"/>
                <w:lang w:val="en-US" w:eastAsia="en-US" w:bidi="ar-SA"/>
              </w:rPr>
              <w:t>he Commission</w:t>
            </w:r>
            <w:r w:rsidR="00BA37F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967876">
              <w:rPr>
                <w:sz w:val="22"/>
                <w:szCs w:val="22"/>
                <w:lang w:val="en-US" w:eastAsia="en-US" w:bidi="ar-SA"/>
              </w:rPr>
              <w:t>launched</w:t>
            </w:r>
            <w:r w:rsidR="00BA37F6">
              <w:rPr>
                <w:sz w:val="22"/>
                <w:szCs w:val="22"/>
                <w:lang w:val="en-US" w:eastAsia="en-US" w:bidi="ar-SA"/>
              </w:rPr>
              <w:t xml:space="preserve"> its</w:t>
            </w:r>
            <w:r w:rsidR="000C5789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800 MHz </w:t>
            </w:r>
            <w:r w:rsidR="000C5789">
              <w:rPr>
                <w:sz w:val="22"/>
                <w:szCs w:val="22"/>
                <w:lang w:val="en-US" w:eastAsia="en-US" w:bidi="ar-SA"/>
              </w:rPr>
              <w:t>rec</w:t>
            </w:r>
            <w:r>
              <w:rPr>
                <w:sz w:val="22"/>
                <w:szCs w:val="22"/>
                <w:lang w:val="en-US" w:eastAsia="en-US" w:bidi="ar-SA"/>
              </w:rPr>
              <w:t>onfiguration p</w:t>
            </w:r>
            <w:r w:rsidR="00967876">
              <w:rPr>
                <w:sz w:val="22"/>
                <w:szCs w:val="22"/>
                <w:lang w:val="en-US" w:eastAsia="en-US" w:bidi="ar-SA"/>
              </w:rPr>
              <w:t>rogram</w:t>
            </w:r>
            <w:r>
              <w:rPr>
                <w:sz w:val="22"/>
                <w:szCs w:val="22"/>
                <w:lang w:val="en-US" w:eastAsia="en-US" w:bidi="ar-SA"/>
              </w:rPr>
              <w:t xml:space="preserve">, known as rebanding, </w:t>
            </w:r>
            <w:r>
              <w:rPr>
                <w:sz w:val="22"/>
                <w:szCs w:val="22"/>
                <w:lang w:val="en-US" w:eastAsia="en-US" w:bidi="ar-SA"/>
              </w:rPr>
              <w:t>t</w:t>
            </w:r>
            <w:r w:rsidR="00BA37F6">
              <w:rPr>
                <w:sz w:val="22"/>
                <w:szCs w:val="22"/>
                <w:lang w:val="en-US" w:eastAsia="en-US" w:bidi="ar-SA"/>
              </w:rPr>
              <w:t>o</w:t>
            </w:r>
            <w:r>
              <w:rPr>
                <w:sz w:val="22"/>
                <w:szCs w:val="22"/>
                <w:lang w:val="en-US" w:eastAsia="en-US" w:bidi="ar-SA"/>
              </w:rPr>
              <w:t xml:space="preserve"> eliminate harmful interference to public safety radio 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systems and other licensees caused by Sprint and other commercial </w:t>
            </w:r>
            <w:r w:rsidRPr="00BF5A88" w:rsidR="00DF23FF">
              <w:rPr>
                <w:sz w:val="22"/>
                <w:szCs w:val="22"/>
                <w:lang w:val="en-US" w:eastAsia="en-US" w:bidi="ar-SA"/>
              </w:rPr>
              <w:t>operat</w:t>
            </w:r>
            <w:r w:rsidR="00DF23FF">
              <w:rPr>
                <w:sz w:val="22"/>
                <w:szCs w:val="22"/>
                <w:lang w:val="en-US" w:eastAsia="en-US" w:bidi="ar-SA"/>
              </w:rPr>
              <w:t>ors</w:t>
            </w:r>
            <w:r w:rsidRPr="00BF5A88">
              <w:rPr>
                <w:sz w:val="22"/>
                <w:szCs w:val="22"/>
                <w:lang w:val="en-US" w:eastAsia="en-US" w:bidi="ar-SA"/>
              </w:rPr>
              <w:t>.</w:t>
            </w:r>
            <w:r w:rsidR="00AE6DC6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Pr="00BF5A88">
              <w:rPr>
                <w:sz w:val="22"/>
                <w:szCs w:val="22"/>
                <w:lang w:val="en-US" w:eastAsia="en-US" w:bidi="ar-SA"/>
              </w:rPr>
              <w:t>Th</w:t>
            </w:r>
            <w:r w:rsidR="00B756A3">
              <w:rPr>
                <w:sz w:val="22"/>
                <w:szCs w:val="22"/>
                <w:lang w:val="en-US" w:eastAsia="en-US" w:bidi="ar-SA"/>
              </w:rPr>
              <w:t>e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initiative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 involves relocating Sprint’s system to the upper end of the</w:t>
            </w:r>
            <w:r w:rsidR="00967876">
              <w:rPr>
                <w:sz w:val="22"/>
                <w:szCs w:val="22"/>
                <w:lang w:val="en-US" w:eastAsia="en-US" w:bidi="ar-SA"/>
              </w:rPr>
              <w:t xml:space="preserve"> 800 MHz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 band and public safety licensees to the lower end. </w:t>
            </w:r>
            <w:r w:rsidR="00AE6DC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F5A88">
              <w:rPr>
                <w:sz w:val="22"/>
                <w:szCs w:val="22"/>
                <w:lang w:val="en-US" w:eastAsia="en-US" w:bidi="ar-SA"/>
              </w:rPr>
              <w:t>The Commission required Sprint to pay the relocation costs incurred by public safety and other licensees, in addition to its own relocation costs.</w:t>
            </w:r>
            <w:r>
              <w:rPr>
                <w:sz w:val="22"/>
                <w:szCs w:val="22"/>
                <w:lang w:val="en-US" w:eastAsia="en-US" w:bidi="ar-SA"/>
              </w:rPr>
              <w:t xml:space="preserve">  The Commission also 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required Sprint to make an </w:t>
            </w: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Pr="00BF5A88">
              <w:rPr>
                <w:sz w:val="22"/>
                <w:szCs w:val="22"/>
                <w:lang w:val="en-US" w:eastAsia="en-US" w:bidi="ar-SA"/>
              </w:rPr>
              <w:t>anti-windfall</w:t>
            </w:r>
            <w:r>
              <w:rPr>
                <w:sz w:val="22"/>
                <w:szCs w:val="22"/>
                <w:lang w:val="en-US" w:eastAsia="en-US" w:bidi="ar-SA"/>
              </w:rPr>
              <w:t xml:space="preserve">” 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payment to the U.S. Treasury if </w:t>
            </w:r>
            <w:r w:rsidR="00B756A3">
              <w:rPr>
                <w:sz w:val="22"/>
                <w:szCs w:val="22"/>
                <w:lang w:val="en-US" w:eastAsia="en-US" w:bidi="ar-SA"/>
              </w:rPr>
              <w:t>the company’s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 total rebanding expenses were less than the value of spectrum</w:t>
            </w:r>
            <w:r>
              <w:rPr>
                <w:sz w:val="22"/>
                <w:szCs w:val="22"/>
                <w:lang w:val="en-US" w:eastAsia="en-US" w:bidi="ar-SA"/>
              </w:rPr>
              <w:t xml:space="preserve"> rights </w:t>
            </w:r>
            <w:r w:rsidR="00AE6DC6">
              <w:rPr>
                <w:sz w:val="22"/>
                <w:szCs w:val="22"/>
                <w:lang w:val="en-US" w:eastAsia="en-US" w:bidi="ar-SA"/>
              </w:rPr>
              <w:t>it was</w:t>
            </w:r>
            <w:r>
              <w:rPr>
                <w:sz w:val="22"/>
                <w:szCs w:val="22"/>
                <w:lang w:val="en-US" w:eastAsia="en-US" w:bidi="ar-SA"/>
              </w:rPr>
              <w:t xml:space="preserve"> awarded </w:t>
            </w:r>
            <w:r w:rsidR="00B756A3">
              <w:rPr>
                <w:sz w:val="22"/>
                <w:szCs w:val="22"/>
                <w:lang w:val="en-US" w:eastAsia="en-US" w:bidi="ar-SA"/>
              </w:rPr>
              <w:t xml:space="preserve">in the 1.9 GHz band </w:t>
            </w:r>
            <w:r w:rsidR="00A7772B">
              <w:rPr>
                <w:sz w:val="22"/>
                <w:szCs w:val="22"/>
                <w:lang w:val="en-US" w:eastAsia="en-US" w:bidi="ar-SA"/>
              </w:rPr>
              <w:t>as part of this initiative</w:t>
            </w:r>
            <w:r w:rsidRPr="00BF5A88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The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 Commission appointed a Transition Administrator to </w:t>
            </w:r>
            <w:r w:rsidR="00B756A3">
              <w:rPr>
                <w:sz w:val="22"/>
                <w:szCs w:val="22"/>
                <w:lang w:val="en-US" w:eastAsia="en-US" w:bidi="ar-SA"/>
              </w:rPr>
              <w:t>manage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 the </w:t>
            </w:r>
            <w:r>
              <w:rPr>
                <w:sz w:val="22"/>
                <w:szCs w:val="22"/>
                <w:lang w:val="en-US" w:eastAsia="en-US" w:bidi="ar-SA"/>
              </w:rPr>
              <w:t xml:space="preserve">rebanding </w:t>
            </w:r>
            <w:r w:rsidRPr="00BF5A88">
              <w:rPr>
                <w:sz w:val="22"/>
                <w:szCs w:val="22"/>
                <w:lang w:val="en-US" w:eastAsia="en-US" w:bidi="ar-SA"/>
              </w:rPr>
              <w:t>program under the Commission’s direction.</w:t>
            </w:r>
          </w:p>
          <w:p w:rsidR="00BF5A88" w:rsidP="00BF5A8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F5A88" w:rsidP="00BF5A8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BF5A88">
              <w:rPr>
                <w:sz w:val="22"/>
                <w:szCs w:val="22"/>
                <w:lang w:val="en-US" w:eastAsia="en-US" w:bidi="ar-SA"/>
              </w:rPr>
              <w:t xml:space="preserve">The rebanding process is now nearly complete, with over 2,000 licensees relocated to new channels in the band, and only 19 licensees yet to be relocated. </w:t>
            </w:r>
            <w:r w:rsidR="001A445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7772B">
              <w:rPr>
                <w:sz w:val="22"/>
                <w:szCs w:val="22"/>
                <w:lang w:val="en-US" w:eastAsia="en-US" w:bidi="ar-SA"/>
              </w:rPr>
              <w:t>In addition, t</w:t>
            </w:r>
            <w:r w:rsidRPr="00BF5A88">
              <w:rPr>
                <w:sz w:val="22"/>
                <w:szCs w:val="22"/>
                <w:lang w:val="en-US" w:eastAsia="en-US" w:bidi="ar-SA"/>
              </w:rPr>
              <w:t>he Commission’s Public Safety and Homeland Security Bureau</w:t>
            </w:r>
            <w:r w:rsidR="00AE6DC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756A3">
              <w:rPr>
                <w:sz w:val="22"/>
                <w:szCs w:val="22"/>
                <w:lang w:val="en-US" w:eastAsia="en-US" w:bidi="ar-SA"/>
              </w:rPr>
              <w:t xml:space="preserve">previously 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determined </w:t>
            </w:r>
            <w:r w:rsidR="00B756A3">
              <w:rPr>
                <w:sz w:val="22"/>
                <w:szCs w:val="22"/>
                <w:lang w:val="en-US" w:eastAsia="en-US" w:bidi="ar-SA"/>
              </w:rPr>
              <w:t>that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 Sprint’s rebanding expenses exceeded the value of </w:t>
            </w:r>
            <w:r w:rsidR="00B756A3">
              <w:rPr>
                <w:sz w:val="22"/>
                <w:szCs w:val="22"/>
                <w:lang w:val="en-US" w:eastAsia="en-US" w:bidi="ar-SA"/>
              </w:rPr>
              <w:t xml:space="preserve">the 1.9 GHz spectrum, so 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no anti-windfall payment </w:t>
            </w:r>
            <w:r w:rsidR="00B756A3">
              <w:rPr>
                <w:sz w:val="22"/>
                <w:szCs w:val="22"/>
                <w:lang w:val="en-US" w:eastAsia="en-US" w:bidi="ar-SA"/>
              </w:rPr>
              <w:t xml:space="preserve">is </w:t>
            </w:r>
            <w:r w:rsidRPr="00BF5A88">
              <w:rPr>
                <w:sz w:val="22"/>
                <w:szCs w:val="22"/>
                <w:lang w:val="en-US" w:eastAsia="en-US" w:bidi="ar-SA"/>
              </w:rPr>
              <w:t xml:space="preserve">required. As a result of these developments, </w:t>
            </w:r>
            <w:r>
              <w:rPr>
                <w:sz w:val="22"/>
                <w:szCs w:val="22"/>
                <w:lang w:val="en-US" w:eastAsia="en-US" w:bidi="ar-SA"/>
              </w:rPr>
              <w:t>the Commission</w:t>
            </w:r>
            <w:r w:rsidR="001A445B">
              <w:rPr>
                <w:sz w:val="22"/>
                <w:szCs w:val="22"/>
                <w:lang w:val="en-US" w:eastAsia="en-US" w:bidi="ar-SA"/>
              </w:rPr>
              <w:t xml:space="preserve"> today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756A3">
              <w:rPr>
                <w:sz w:val="22"/>
                <w:szCs w:val="22"/>
                <w:lang w:val="en-US" w:eastAsia="en-US" w:bidi="ar-SA"/>
              </w:rPr>
              <w:t xml:space="preserve">adopted an Order that streamlines certain rules and procedures to expedite completion of the rebanding process.  </w:t>
            </w:r>
            <w:r>
              <w:rPr>
                <w:sz w:val="22"/>
                <w:szCs w:val="22"/>
                <w:lang w:val="en-US" w:eastAsia="en-US" w:bidi="ar-SA"/>
              </w:rPr>
              <w:t>The Commission also sought comment on eliminat</w:t>
            </w:r>
            <w:r w:rsidR="00A7772B">
              <w:rPr>
                <w:sz w:val="22"/>
                <w:szCs w:val="22"/>
                <w:lang w:val="en-US" w:eastAsia="en-US" w:bidi="ar-SA"/>
              </w:rPr>
              <w:t>ing</w:t>
            </w:r>
            <w:r>
              <w:rPr>
                <w:sz w:val="22"/>
                <w:szCs w:val="22"/>
                <w:lang w:val="en-US" w:eastAsia="en-US" w:bidi="ar-SA"/>
              </w:rPr>
              <w:t xml:space="preserve"> certain responsibilities of the Transition Administrator</w:t>
            </w:r>
            <w:r w:rsidR="00A7772B">
              <w:rPr>
                <w:sz w:val="22"/>
                <w:szCs w:val="22"/>
                <w:lang w:val="en-US" w:eastAsia="en-US" w:bidi="ar-SA"/>
              </w:rPr>
              <w:t xml:space="preserve"> to help conclude this program</w:t>
            </w:r>
            <w:r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BD19E8" w:rsidP="002E165B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D4B7C" w:rsidRPr="00DD4B7C" w:rsidP="00DD4B7C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D4B7C">
              <w:rPr>
                <w:sz w:val="22"/>
                <w:szCs w:val="22"/>
                <w:lang w:val="en-US" w:eastAsia="en-US" w:bidi="ar-SA"/>
              </w:rPr>
              <w:t>Action by the Commission October 25, 2019 by Order and Sixth Further Notice of Proposed Rulemaking (FCC 19-</w:t>
            </w:r>
            <w:r>
              <w:rPr>
                <w:sz w:val="22"/>
                <w:szCs w:val="22"/>
                <w:lang w:val="en-US" w:eastAsia="en-US" w:bidi="ar-SA"/>
              </w:rPr>
              <w:t>108</w:t>
            </w:r>
            <w:r w:rsidRPr="00DD4B7C">
              <w:rPr>
                <w:sz w:val="22"/>
                <w:szCs w:val="22"/>
                <w:lang w:val="en-US" w:eastAsia="en-US" w:bidi="ar-SA"/>
              </w:rPr>
              <w:t>).  Chairman Pai, Commissioners O’Rielly, Carr, Rosenworcel, and Starks approving.  Chairman Pai</w:t>
            </w:r>
            <w:r w:rsidR="00D23DA7">
              <w:rPr>
                <w:sz w:val="22"/>
                <w:szCs w:val="22"/>
                <w:lang w:val="en-US" w:eastAsia="en-US" w:bidi="ar-SA"/>
              </w:rPr>
              <w:t xml:space="preserve"> and </w:t>
            </w:r>
            <w:r w:rsidRPr="00DD4B7C">
              <w:rPr>
                <w:sz w:val="22"/>
                <w:szCs w:val="22"/>
                <w:lang w:val="en-US" w:eastAsia="en-US" w:bidi="ar-SA"/>
              </w:rPr>
              <w:t>Commissioner O’Rielly issuing separate statements.</w:t>
            </w:r>
          </w:p>
          <w:p w:rsidR="00DD4B7C" w:rsidRPr="00DD4B7C" w:rsidP="00DD4B7C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D4B7C" w:rsidP="00DD4B7C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D4B7C">
              <w:rPr>
                <w:sz w:val="22"/>
                <w:szCs w:val="22"/>
                <w:lang w:val="en-US" w:eastAsia="en-US" w:bidi="ar-SA"/>
              </w:rPr>
              <w:t>WT Docket No. 02-55</w:t>
            </w:r>
          </w:p>
          <w:p w:rsidR="00DD4B7C" w:rsidRPr="002E165B" w:rsidP="00DD4B7C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RPr="007475A1" w:rsidP="00850E26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7475A1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  <w:u w:val="single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  <w:lang w:val="en-US" w:eastAsia="en-US" w:bidi="ar-SA"/>
              </w:rPr>
              <w:t>418-</w:t>
            </w:r>
            <w:r w:rsidRPr="0080486B">
              <w:rPr>
                <w:b/>
                <w:bCs/>
                <w:sz w:val="17"/>
                <w:szCs w:val="17"/>
                <w:lang w:val="en-US" w:eastAsia="en-US" w:bidi="ar-SA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  <w:lang w:val="en-US" w:eastAsia="en-US" w:bidi="ar-SA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  <w:lang w:val="en-US" w:eastAsia="en-US" w:bidi="ar-SA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  <w:lang w:val="en-US" w:eastAsia="en-US" w:bidi="ar-SA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  <w:lang w:val="en-US" w:eastAsia="en-US" w:bidi="ar-SA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  <w:lang w:val="en-US" w:eastAsia="en-US" w:bidi="ar-SA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EF729B" w:rsidP="00850E26">
            <w:pPr>
              <w:ind w:right="72"/>
              <w:jc w:val="center"/>
              <w:rPr>
                <w:rStyle w:val="DefaultParagraphFont"/>
                <w:bCs/>
                <w:i/>
                <w:sz w:val="16"/>
                <w:szCs w:val="16"/>
                <w:lang w:val="en-US" w:eastAsia="en-US" w:bidi="ar-SA"/>
              </w:rPr>
            </w:pPr>
            <w:r w:rsidRPr="00EF729B">
              <w:rPr>
                <w:bCs/>
                <w:i/>
                <w:sz w:val="16"/>
                <w:szCs w:val="16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D4B7C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3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5789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4D4C"/>
    <w:rsid w:val="001865A9"/>
    <w:rsid w:val="00187DB2"/>
    <w:rsid w:val="001A445B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028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1E90"/>
    <w:rsid w:val="00545DAE"/>
    <w:rsid w:val="00571B83"/>
    <w:rsid w:val="00575A00"/>
    <w:rsid w:val="00586417"/>
    <w:rsid w:val="0058673C"/>
    <w:rsid w:val="005A5B2F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7876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7772B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6DC6"/>
    <w:rsid w:val="00AF051B"/>
    <w:rsid w:val="00B037A2"/>
    <w:rsid w:val="00B31870"/>
    <w:rsid w:val="00B320B8"/>
    <w:rsid w:val="00B339A2"/>
    <w:rsid w:val="00B35EE2"/>
    <w:rsid w:val="00B36DEF"/>
    <w:rsid w:val="00B57131"/>
    <w:rsid w:val="00B62F2C"/>
    <w:rsid w:val="00B727C9"/>
    <w:rsid w:val="00B735C8"/>
    <w:rsid w:val="00B756A3"/>
    <w:rsid w:val="00B76A63"/>
    <w:rsid w:val="00BA37F6"/>
    <w:rsid w:val="00BA6350"/>
    <w:rsid w:val="00BB4E29"/>
    <w:rsid w:val="00BB74C9"/>
    <w:rsid w:val="00BC3AB6"/>
    <w:rsid w:val="00BD19E8"/>
    <w:rsid w:val="00BD4273"/>
    <w:rsid w:val="00BF5A88"/>
    <w:rsid w:val="00C31ED8"/>
    <w:rsid w:val="00C37BED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3DA7"/>
    <w:rsid w:val="00D24C3D"/>
    <w:rsid w:val="00D2586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B7C"/>
    <w:rsid w:val="00DF23F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263F"/>
    <w:rsid w:val="00E83DBF"/>
    <w:rsid w:val="00E87C13"/>
    <w:rsid w:val="00E94CD9"/>
    <w:rsid w:val="00EA1609"/>
    <w:rsid w:val="00EA1A76"/>
    <w:rsid w:val="00EA290B"/>
    <w:rsid w:val="00ED1B41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3A7D40-062A-4ADD-9858-8FF5972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25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