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FRONTIER COMMUNICATIONS CORPORATION</w:t>
      </w:r>
    </w:p>
    <w:p w:rsidR="00AC191A" w:rsidP="00AC191A">
      <w:pPr>
        <w:pStyle w:val="Title"/>
        <w:jc w:val="left"/>
        <w:rPr>
          <w:szCs w:val="22"/>
        </w:rPr>
      </w:pPr>
    </w:p>
    <w:p w:rsidR="00BB6E7C" w:rsidP="00585588">
      <w:pPr>
        <w:pStyle w:val="Title"/>
        <w:jc w:val="left"/>
        <w:rPr>
          <w:szCs w:val="22"/>
        </w:rPr>
      </w:pPr>
      <w:r>
        <w:rPr>
          <w:szCs w:val="22"/>
        </w:rPr>
        <w:t>WC Docket No. 1</w:t>
      </w:r>
      <w:r w:rsidR="00802DC6">
        <w:rPr>
          <w:szCs w:val="22"/>
        </w:rPr>
        <w:t>9</w:t>
      </w:r>
      <w:r>
        <w:rPr>
          <w:szCs w:val="22"/>
        </w:rPr>
        <w:t>-</w:t>
      </w:r>
      <w:r w:rsidR="000C49E5">
        <w:rPr>
          <w:szCs w:val="22"/>
        </w:rPr>
        <w:t>312</w:t>
      </w:r>
      <w:r>
        <w:rPr>
          <w:szCs w:val="22"/>
        </w:rPr>
        <w:tab/>
      </w:r>
      <w:r>
        <w:rPr>
          <w:szCs w:val="22"/>
        </w:rPr>
        <w:tab/>
      </w:r>
      <w:r>
        <w:rPr>
          <w:szCs w:val="22"/>
        </w:rPr>
        <w:tab/>
      </w:r>
      <w:r>
        <w:rPr>
          <w:szCs w:val="22"/>
        </w:rPr>
        <w:tab/>
      </w:r>
      <w:r>
        <w:rPr>
          <w:szCs w:val="22"/>
        </w:rPr>
        <w:tab/>
        <w:t xml:space="preserve">          </w:t>
      </w:r>
      <w:r w:rsidR="00C1571F">
        <w:rPr>
          <w:szCs w:val="22"/>
        </w:rPr>
        <w:t>October 29</w:t>
      </w:r>
      <w:r>
        <w:rPr>
          <w:szCs w:val="22"/>
        </w:rPr>
        <w:t>, 201</w:t>
      </w:r>
      <w:r w:rsidR="00802DC6">
        <w:rPr>
          <w:szCs w:val="22"/>
        </w:rPr>
        <w:t>9</w:t>
      </w:r>
    </w:p>
    <w:p w:rsidR="008961DF" w:rsidP="00585588">
      <w:pPr>
        <w:pStyle w:val="Title"/>
        <w:jc w:val="left"/>
        <w:rPr>
          <w:szCs w:val="22"/>
        </w:rPr>
      </w:pPr>
      <w:r w:rsidRPr="00F046EC">
        <w:rPr>
          <w:szCs w:val="22"/>
        </w:rPr>
        <w:t xml:space="preserve">Report No. </w:t>
      </w:r>
      <w:r>
        <w:rPr>
          <w:szCs w:val="22"/>
        </w:rPr>
        <w:t>NCD-2</w:t>
      </w:r>
      <w:r w:rsidR="00C1571F">
        <w:rPr>
          <w:szCs w:val="22"/>
        </w:rPr>
        <w:t>991</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Frontier Communications</w:t>
      </w:r>
      <w:r w:rsidRPr="009E4360">
        <w:rPr>
          <w:szCs w:val="22"/>
        </w:rPr>
        <w:t xml:space="preserve"> Corporation (</w:t>
      </w:r>
      <w:r>
        <w:rPr>
          <w:szCs w:val="22"/>
        </w:rPr>
        <w:t>Frontier</w:t>
      </w:r>
      <w:r w:rsidRPr="009E4360">
        <w:rPr>
          <w:szCs w:val="22"/>
        </w:rPr>
        <w:t>)</w:t>
      </w:r>
      <w:r w:rsidRPr="009C555B">
        <w:rPr>
          <w:szCs w:val="22"/>
        </w:rPr>
        <w:t xml:space="preserve">, an incumbent local exchange carrier (LEC), </w:t>
      </w:r>
      <w:r w:rsidRPr="00F046EC">
        <w:rPr>
          <w:szCs w:val="22"/>
        </w:rPr>
        <w:t xml:space="preserve">has filed certification that </w:t>
      </w:r>
      <w:r>
        <w:rPr>
          <w:szCs w:val="22"/>
        </w:rPr>
        <w:t xml:space="preserve">public notice of network change(s) </w:t>
      </w:r>
      <w:r w:rsidRPr="00804C85">
        <w:rPr>
          <w:szCs w:val="22"/>
        </w:rPr>
        <w:t>involving the retirement of copper</w:t>
      </w:r>
      <w:r>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r w:rsidRPr="002B6948">
          <w:rPr>
            <w:rStyle w:val="Hyperlink"/>
          </w:rPr>
          <w:t>https://wholesale.frontier.com/wholesale/notifications-and-news</w:t>
        </w:r>
      </w:hyperlink>
      <w:r>
        <w:rPr>
          <w:szCs w:val="22"/>
        </w:rPr>
        <w:t>.</w:t>
      </w:r>
    </w:p>
    <w:p w:rsidR="00E25608" w:rsidRPr="00E25608" w:rsidP="00E25608">
      <w:pPr>
        <w:tabs>
          <w:tab w:val="left" w:pos="-720"/>
        </w:tabs>
        <w:suppressAutoHyphens/>
        <w:rPr>
          <w:b/>
          <w:szCs w:val="22"/>
          <w:u w:val="single"/>
        </w:rPr>
      </w:pPr>
    </w:p>
    <w:p w:rsidR="006D4151" w:rsidRPr="00F046EC" w:rsidP="006D4151">
      <w:pPr>
        <w:tabs>
          <w:tab w:val="left" w:pos="-720"/>
        </w:tabs>
        <w:suppressAutoHyphens/>
        <w:rPr>
          <w:szCs w:val="22"/>
        </w:rPr>
      </w:pPr>
      <w:r w:rsidRPr="00E25608">
        <w:rPr>
          <w:szCs w:val="22"/>
        </w:rPr>
        <w:t>The incumbent LEC's certification(s) refer(s) to the change(s) identified below:</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2070"/>
        <w:gridCol w:w="3870"/>
        <w:gridCol w:w="1800"/>
      </w:tblGrid>
      <w:tr w:rsidTr="004F550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620" w:type="dxa"/>
            <w:shd w:val="clear" w:color="auto" w:fill="auto"/>
          </w:tcPr>
          <w:p w:rsidR="006D4151" w:rsidRPr="007E723C" w:rsidP="00265BC2">
            <w:pPr>
              <w:tabs>
                <w:tab w:val="left" w:pos="0"/>
              </w:tabs>
              <w:suppressAutoHyphens/>
              <w:rPr>
                <w:b/>
                <w:szCs w:val="22"/>
              </w:rPr>
            </w:pPr>
            <w:r>
              <w:rPr>
                <w:b/>
                <w:szCs w:val="22"/>
              </w:rPr>
              <w:t>Notice Number</w:t>
            </w:r>
          </w:p>
        </w:tc>
        <w:tc>
          <w:tcPr>
            <w:tcW w:w="2070" w:type="dxa"/>
            <w:shd w:val="clear" w:color="auto" w:fill="auto"/>
          </w:tcPr>
          <w:p w:rsidR="006D4151" w:rsidRPr="007E723C" w:rsidP="00265BC2">
            <w:pPr>
              <w:tabs>
                <w:tab w:val="left" w:pos="0"/>
              </w:tabs>
              <w:suppressAutoHyphens/>
              <w:rPr>
                <w:b/>
                <w:szCs w:val="22"/>
              </w:rPr>
            </w:pPr>
            <w:r w:rsidRPr="007E723C">
              <w:rPr>
                <w:b/>
                <w:szCs w:val="22"/>
              </w:rPr>
              <w:t>Type of Change(s)</w:t>
            </w:r>
          </w:p>
        </w:tc>
        <w:tc>
          <w:tcPr>
            <w:tcW w:w="3870" w:type="dxa"/>
            <w:shd w:val="clear" w:color="auto" w:fill="auto"/>
          </w:tcPr>
          <w:p w:rsidR="006D4151" w:rsidRPr="007E723C" w:rsidP="00265BC2">
            <w:pPr>
              <w:tabs>
                <w:tab w:val="left" w:pos="0"/>
              </w:tabs>
              <w:suppressAutoHyphens/>
              <w:rPr>
                <w:b/>
                <w:szCs w:val="22"/>
              </w:rPr>
            </w:pPr>
            <w:r>
              <w:rPr>
                <w:b/>
                <w:szCs w:val="22"/>
              </w:rPr>
              <w:t>Location of Change(s)</w:t>
            </w:r>
          </w:p>
        </w:tc>
        <w:tc>
          <w:tcPr>
            <w:tcW w:w="1800" w:type="dxa"/>
          </w:tcPr>
          <w:p w:rsidR="006D4151" w:rsidP="00265BC2">
            <w:pPr>
              <w:tabs>
                <w:tab w:val="left" w:pos="0"/>
              </w:tabs>
              <w:suppressAutoHyphens/>
              <w:rPr>
                <w:b/>
                <w:szCs w:val="22"/>
              </w:rPr>
            </w:pPr>
            <w:r>
              <w:rPr>
                <w:b/>
                <w:szCs w:val="22"/>
              </w:rPr>
              <w:t>Implementation Date(s)</w:t>
            </w:r>
          </w:p>
        </w:tc>
      </w:tr>
      <w:tr w:rsidTr="004F5506">
        <w:tblPrEx>
          <w:tblW w:w="9360" w:type="dxa"/>
          <w:tblInd w:w="108" w:type="dxa"/>
          <w:tblLayout w:type="fixed"/>
          <w:tblLook w:val="01E0"/>
        </w:tblPrEx>
        <w:tc>
          <w:tcPr>
            <w:tcW w:w="1620" w:type="dxa"/>
            <w:shd w:val="clear" w:color="auto" w:fill="auto"/>
          </w:tcPr>
          <w:p w:rsidR="006D4151" w:rsidRPr="005D3499" w:rsidP="00265BC2">
            <w:pPr>
              <w:tabs>
                <w:tab w:val="left" w:pos="0"/>
              </w:tabs>
              <w:suppressAutoHyphens/>
              <w:rPr>
                <w:szCs w:val="22"/>
              </w:rPr>
            </w:pPr>
            <w:r w:rsidRPr="005D3499">
              <w:rPr>
                <w:szCs w:val="22"/>
              </w:rPr>
              <w:t>CCBFTR01</w:t>
            </w:r>
            <w:r w:rsidR="004177AB">
              <w:rPr>
                <w:szCs w:val="22"/>
              </w:rPr>
              <w:t>700</w:t>
            </w:r>
          </w:p>
        </w:tc>
        <w:tc>
          <w:tcPr>
            <w:tcW w:w="2070" w:type="dxa"/>
            <w:shd w:val="clear" w:color="auto" w:fill="auto"/>
          </w:tcPr>
          <w:p w:rsidR="006D4151" w:rsidRPr="005D3499" w:rsidP="00265BC2">
            <w:pPr>
              <w:rPr>
                <w:szCs w:val="22"/>
              </w:rPr>
            </w:pPr>
            <w:r>
              <w:rPr>
                <w:szCs w:val="22"/>
              </w:rPr>
              <w:t xml:space="preserve">Frontier plans to retire affected copper facilities that </w:t>
            </w:r>
            <w:r w:rsidR="00020013">
              <w:rPr>
                <w:szCs w:val="22"/>
              </w:rPr>
              <w:t xml:space="preserve">currently </w:t>
            </w:r>
            <w:r>
              <w:rPr>
                <w:szCs w:val="22"/>
              </w:rPr>
              <w:t xml:space="preserve">are not being used to serve any customers and to </w:t>
            </w:r>
            <w:r w:rsidR="00B70E12">
              <w:rPr>
                <w:szCs w:val="22"/>
              </w:rPr>
              <w:t xml:space="preserve">continue to </w:t>
            </w:r>
            <w:r>
              <w:rPr>
                <w:szCs w:val="22"/>
              </w:rPr>
              <w:t xml:space="preserve">offer services over its </w:t>
            </w:r>
            <w:r w:rsidR="00B70E12">
              <w:rPr>
                <w:szCs w:val="22"/>
              </w:rPr>
              <w:t xml:space="preserve">existing </w:t>
            </w:r>
            <w:r>
              <w:rPr>
                <w:szCs w:val="22"/>
              </w:rPr>
              <w:t>fiber network infrastructure</w:t>
            </w:r>
            <w:r w:rsidRPr="005D3499">
              <w:rPr>
                <w:szCs w:val="22"/>
              </w:rPr>
              <w:t>.</w:t>
            </w:r>
          </w:p>
        </w:tc>
        <w:tc>
          <w:tcPr>
            <w:tcW w:w="3870" w:type="dxa"/>
            <w:shd w:val="clear" w:color="auto" w:fill="auto"/>
          </w:tcPr>
          <w:p w:rsidR="006D4151" w:rsidRPr="005D3499" w:rsidP="00265BC2">
            <w:pPr>
              <w:tabs>
                <w:tab w:val="left" w:pos="0"/>
              </w:tabs>
              <w:suppressAutoHyphens/>
              <w:rPr>
                <w:szCs w:val="22"/>
              </w:rPr>
            </w:pPr>
            <w:r>
              <w:rPr>
                <w:szCs w:val="22"/>
              </w:rPr>
              <w:t>I</w:t>
            </w:r>
            <w:r w:rsidRPr="003E3D75">
              <w:rPr>
                <w:szCs w:val="22"/>
              </w:rPr>
              <w:t>n the following Wire Center</w:t>
            </w:r>
            <w:r w:rsidR="00C02188">
              <w:rPr>
                <w:szCs w:val="22"/>
              </w:rPr>
              <w:t>s</w:t>
            </w:r>
            <w:r w:rsidRPr="003E3D75">
              <w:rPr>
                <w:szCs w:val="22"/>
              </w:rPr>
              <w:t xml:space="preserve"> in </w:t>
            </w:r>
            <w:r w:rsidR="00C02188">
              <w:rPr>
                <w:szCs w:val="22"/>
              </w:rPr>
              <w:t>Florida</w:t>
            </w:r>
            <w:r w:rsidRPr="003E3D75">
              <w:rPr>
                <w:szCs w:val="22"/>
              </w:rPr>
              <w:t xml:space="preserve">: </w:t>
            </w:r>
            <w:r>
              <w:rPr>
                <w:szCs w:val="22"/>
              </w:rPr>
              <w:t xml:space="preserve"> </w:t>
            </w:r>
            <w:r w:rsidR="00837A62">
              <w:rPr>
                <w:szCs w:val="22"/>
              </w:rPr>
              <w:t>Bartow (BARTFLXA),</w:t>
            </w:r>
            <w:r w:rsidR="00837A62">
              <w:rPr>
                <w:szCs w:val="22"/>
              </w:rPr>
              <w:t xml:space="preserve"> </w:t>
            </w:r>
            <w:r w:rsidR="00C02188">
              <w:rPr>
                <w:szCs w:val="22"/>
              </w:rPr>
              <w:t xml:space="preserve">Bradenton (BRTNFLXA), Bradenton Bay (BRBAFLXA), Highlands (HGLDFLXA), </w:t>
            </w:r>
            <w:r w:rsidR="00837A62">
              <w:rPr>
                <w:szCs w:val="22"/>
              </w:rPr>
              <w:t xml:space="preserve">Hudson (HDSNFLXA), Indian Rock Beach (INRKFLXX), Lakeland (LKLDFLXA), Longboat Key (LGBKFLXA), Palma Sola (PLSLFLXA), Sarasota (SRSTFLXA), </w:t>
            </w:r>
            <w:r w:rsidR="00165DD7">
              <w:rPr>
                <w:szCs w:val="22"/>
              </w:rPr>
              <w:t>Sarasota Springs (SPRGFLXA)</w:t>
            </w:r>
            <w:r w:rsidR="00165DD7">
              <w:rPr>
                <w:szCs w:val="22"/>
              </w:rPr>
              <w:t xml:space="preserve">, </w:t>
            </w:r>
            <w:r w:rsidR="00837A62">
              <w:rPr>
                <w:szCs w:val="22"/>
              </w:rPr>
              <w:t xml:space="preserve">Siesta Key (SEKYFLXA), Southside (SSDSFLXA), Venice (VENCFLXA) </w:t>
            </w:r>
            <w:r>
              <w:rPr>
                <w:szCs w:val="22"/>
              </w:rPr>
              <w:t>&amp; at facilities associated with the locations served by th</w:t>
            </w:r>
            <w:r w:rsidR="00C02188">
              <w:rPr>
                <w:szCs w:val="22"/>
              </w:rPr>
              <w:t>ese</w:t>
            </w:r>
            <w:r>
              <w:rPr>
                <w:szCs w:val="22"/>
              </w:rPr>
              <w:t xml:space="preserve"> wire</w:t>
            </w:r>
            <w:r w:rsidR="00C02188">
              <w:rPr>
                <w:szCs w:val="22"/>
              </w:rPr>
              <w:t xml:space="preserve"> </w:t>
            </w:r>
            <w:r>
              <w:rPr>
                <w:szCs w:val="22"/>
              </w:rPr>
              <w:t>center</w:t>
            </w:r>
            <w:r w:rsidR="00C02188">
              <w:rPr>
                <w:szCs w:val="22"/>
              </w:rPr>
              <w:t>s</w:t>
            </w:r>
            <w:r>
              <w:rPr>
                <w:szCs w:val="22"/>
              </w:rPr>
              <w:t xml:space="preserve"> listed in Attachment A to the notice under </w:t>
            </w:r>
            <w:r w:rsidRPr="00C02188" w:rsidR="00C02188">
              <w:rPr>
                <w:szCs w:val="22"/>
              </w:rPr>
              <w:t>CCBFTR01700 - Public Notice of Copper Retirement Under Rule 47 C.F.R. §51.333 - Bradenton, FL and Surrounding Wire Centers</w:t>
            </w:r>
            <w:r w:rsidRPr="002D152F">
              <w:rPr>
                <w:color w:val="000000" w:themeColor="text1"/>
                <w:szCs w:val="22"/>
              </w:rPr>
              <w:t>.</w:t>
            </w:r>
          </w:p>
        </w:tc>
        <w:tc>
          <w:tcPr>
            <w:tcW w:w="1800" w:type="dxa"/>
          </w:tcPr>
          <w:p w:rsidR="006D4151" w:rsidRPr="00802DC6" w:rsidP="00265BC2">
            <w:pPr>
              <w:tabs>
                <w:tab w:val="left" w:pos="0"/>
              </w:tabs>
              <w:suppressAutoHyphens/>
              <w:rPr>
                <w:b/>
                <w:szCs w:val="22"/>
              </w:rPr>
            </w:pPr>
            <w:r>
              <w:rPr>
                <w:szCs w:val="22"/>
              </w:rPr>
              <w:t>15 days after FCC Public Notice</w:t>
            </w:r>
          </w:p>
        </w:tc>
      </w:tr>
    </w:tbl>
    <w:p w:rsidR="006D4151" w:rsidRPr="005D3499" w:rsidP="006D4151">
      <w:pPr>
        <w:tabs>
          <w:tab w:val="left" w:pos="0"/>
        </w:tabs>
        <w:suppressAutoHyphens/>
        <w:rPr>
          <w:szCs w:val="22"/>
          <w:lang w:val="de-DE"/>
        </w:rPr>
      </w:pPr>
    </w:p>
    <w:p w:rsidR="006D4151" w:rsidRPr="005D3499" w:rsidP="00C003C0">
      <w:pPr>
        <w:rPr>
          <w:szCs w:val="22"/>
        </w:rPr>
      </w:pPr>
      <w:r w:rsidRPr="005D3499">
        <w:rPr>
          <w:szCs w:val="22"/>
        </w:rPr>
        <w:t>Incumbent LEC contact:</w:t>
      </w:r>
    </w:p>
    <w:p w:rsidR="006D4151" w:rsidRPr="00866610" w:rsidP="006D4151">
      <w:pPr>
        <w:tabs>
          <w:tab w:val="left" w:pos="0"/>
        </w:tabs>
        <w:suppressAutoHyphens/>
        <w:rPr>
          <w:szCs w:val="22"/>
        </w:rPr>
      </w:pPr>
      <w:r>
        <w:rPr>
          <w:szCs w:val="22"/>
        </w:rPr>
        <w:t>Joe Chicoine</w:t>
      </w:r>
    </w:p>
    <w:p w:rsidR="006D4151" w:rsidRPr="00866610" w:rsidP="006D4151">
      <w:pPr>
        <w:tabs>
          <w:tab w:val="left" w:pos="0"/>
        </w:tabs>
        <w:suppressAutoHyphens/>
        <w:rPr>
          <w:szCs w:val="22"/>
        </w:rPr>
      </w:pPr>
      <w:r>
        <w:rPr>
          <w:szCs w:val="22"/>
        </w:rPr>
        <w:t xml:space="preserve">Sr. Manager, </w:t>
      </w:r>
      <w:r w:rsidRPr="00866610">
        <w:rPr>
          <w:szCs w:val="22"/>
        </w:rPr>
        <w:t>Regulatory Affairs</w:t>
      </w:r>
    </w:p>
    <w:p w:rsidR="006D4151" w:rsidRPr="00866610" w:rsidP="006D4151">
      <w:pPr>
        <w:tabs>
          <w:tab w:val="left" w:pos="0"/>
        </w:tabs>
        <w:suppressAutoHyphens/>
        <w:rPr>
          <w:szCs w:val="22"/>
        </w:rPr>
      </w:pPr>
      <w:r w:rsidRPr="00866610">
        <w:rPr>
          <w:szCs w:val="22"/>
        </w:rPr>
        <w:t>Frontier Communications</w:t>
      </w:r>
      <w:r>
        <w:rPr>
          <w:szCs w:val="22"/>
        </w:rPr>
        <w:t xml:space="preserve"> Corporation</w:t>
      </w:r>
    </w:p>
    <w:p w:rsidR="006D4151" w:rsidRPr="00866610" w:rsidP="006D4151">
      <w:pPr>
        <w:tabs>
          <w:tab w:val="left" w:pos="0"/>
        </w:tabs>
        <w:suppressAutoHyphens/>
        <w:rPr>
          <w:szCs w:val="22"/>
        </w:rPr>
      </w:pPr>
      <w:r>
        <w:rPr>
          <w:szCs w:val="22"/>
        </w:rPr>
        <w:t>9260 E. Stockton Blvd.</w:t>
      </w:r>
    </w:p>
    <w:p w:rsidR="006D4151" w:rsidP="006D4151">
      <w:pPr>
        <w:tabs>
          <w:tab w:val="left" w:pos="0"/>
        </w:tabs>
        <w:suppressAutoHyphens/>
        <w:rPr>
          <w:szCs w:val="22"/>
        </w:rPr>
      </w:pPr>
      <w:r>
        <w:rPr>
          <w:szCs w:val="22"/>
        </w:rPr>
        <w:t>Elk Grove,</w:t>
      </w:r>
      <w:r w:rsidRPr="00866610">
        <w:rPr>
          <w:szCs w:val="22"/>
        </w:rPr>
        <w:t xml:space="preserve"> </w:t>
      </w:r>
      <w:r>
        <w:rPr>
          <w:szCs w:val="22"/>
        </w:rPr>
        <w:t>CA</w:t>
      </w:r>
      <w:r w:rsidRPr="00866610">
        <w:rPr>
          <w:szCs w:val="22"/>
        </w:rPr>
        <w:t xml:space="preserve"> </w:t>
      </w:r>
      <w:r>
        <w:rPr>
          <w:szCs w:val="22"/>
        </w:rPr>
        <w:t>95624</w:t>
      </w:r>
    </w:p>
    <w:p w:rsidR="006D4151" w:rsidRPr="00B34A3C" w:rsidP="006D4151">
      <w:pPr>
        <w:tabs>
          <w:tab w:val="left" w:pos="0"/>
        </w:tabs>
        <w:suppressAutoHyphens/>
        <w:rPr>
          <w:b/>
          <w:szCs w:val="22"/>
        </w:rPr>
      </w:pPr>
      <w:r w:rsidRPr="00866610">
        <w:rPr>
          <w:szCs w:val="22"/>
        </w:rPr>
        <w:t xml:space="preserve">Phone: </w:t>
      </w:r>
      <w:r>
        <w:rPr>
          <w:szCs w:val="22"/>
        </w:rPr>
        <w:t xml:space="preserve"> </w:t>
      </w:r>
      <w:r w:rsidRPr="00866610">
        <w:rPr>
          <w:szCs w:val="22"/>
        </w:rPr>
        <w:t>(</w:t>
      </w:r>
      <w:r>
        <w:rPr>
          <w:szCs w:val="22"/>
        </w:rPr>
        <w:t>916</w:t>
      </w:r>
      <w:r w:rsidRPr="00866610">
        <w:rPr>
          <w:szCs w:val="22"/>
        </w:rPr>
        <w:t xml:space="preserve">) </w:t>
      </w:r>
      <w:r>
        <w:rPr>
          <w:szCs w:val="22"/>
        </w:rPr>
        <w:t>686</w:t>
      </w:r>
      <w:r w:rsidRPr="00866610">
        <w:rPr>
          <w:szCs w:val="22"/>
        </w:rPr>
        <w:t>-</w:t>
      </w:r>
      <w:r>
        <w:rPr>
          <w:szCs w:val="22"/>
        </w:rPr>
        <w:t>3588</w:t>
      </w:r>
    </w:p>
    <w:p w:rsidR="006D4151" w:rsidRPr="007F510F" w:rsidP="006D4151">
      <w:pPr>
        <w:rPr>
          <w:szCs w:val="22"/>
        </w:rPr>
      </w:pPr>
    </w:p>
    <w:p w:rsidR="006E7B5B" w:rsidRPr="00082C34"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3795249"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20013"/>
    <w:rsid w:val="00082C34"/>
    <w:rsid w:val="000C49E5"/>
    <w:rsid w:val="001454F9"/>
    <w:rsid w:val="00165DD7"/>
    <w:rsid w:val="001B46A7"/>
    <w:rsid w:val="0022440F"/>
    <w:rsid w:val="002463B6"/>
    <w:rsid w:val="00265BC2"/>
    <w:rsid w:val="002A1AA0"/>
    <w:rsid w:val="002B6948"/>
    <w:rsid w:val="002D152F"/>
    <w:rsid w:val="002D783A"/>
    <w:rsid w:val="00323CD4"/>
    <w:rsid w:val="003C4DFB"/>
    <w:rsid w:val="003E3D75"/>
    <w:rsid w:val="0041443B"/>
    <w:rsid w:val="004177AB"/>
    <w:rsid w:val="0046540F"/>
    <w:rsid w:val="004F48EF"/>
    <w:rsid w:val="004F5506"/>
    <w:rsid w:val="00546004"/>
    <w:rsid w:val="00567BD5"/>
    <w:rsid w:val="00571F5B"/>
    <w:rsid w:val="00585588"/>
    <w:rsid w:val="005D2C28"/>
    <w:rsid w:val="005D3499"/>
    <w:rsid w:val="006069D9"/>
    <w:rsid w:val="0063533E"/>
    <w:rsid w:val="00646DE9"/>
    <w:rsid w:val="00671064"/>
    <w:rsid w:val="006A2E3C"/>
    <w:rsid w:val="006C5538"/>
    <w:rsid w:val="006D4151"/>
    <w:rsid w:val="006E7B5B"/>
    <w:rsid w:val="007868C8"/>
    <w:rsid w:val="007E723C"/>
    <w:rsid w:val="007F510F"/>
    <w:rsid w:val="00802DC6"/>
    <w:rsid w:val="00804C85"/>
    <w:rsid w:val="00837A62"/>
    <w:rsid w:val="00866610"/>
    <w:rsid w:val="00877F45"/>
    <w:rsid w:val="008961DF"/>
    <w:rsid w:val="008A65D1"/>
    <w:rsid w:val="008F52B1"/>
    <w:rsid w:val="00903DBD"/>
    <w:rsid w:val="009C555B"/>
    <w:rsid w:val="009D7070"/>
    <w:rsid w:val="009E4360"/>
    <w:rsid w:val="00AC191A"/>
    <w:rsid w:val="00B2754A"/>
    <w:rsid w:val="00B34A3C"/>
    <w:rsid w:val="00B70E12"/>
    <w:rsid w:val="00BB6E7C"/>
    <w:rsid w:val="00C003C0"/>
    <w:rsid w:val="00C02188"/>
    <w:rsid w:val="00C1571F"/>
    <w:rsid w:val="00C2582B"/>
    <w:rsid w:val="00C613F7"/>
    <w:rsid w:val="00D45146"/>
    <w:rsid w:val="00D954C4"/>
    <w:rsid w:val="00E01BD3"/>
    <w:rsid w:val="00E24728"/>
    <w:rsid w:val="00E25608"/>
    <w:rsid w:val="00E37281"/>
    <w:rsid w:val="00E91458"/>
    <w:rsid w:val="00E929C9"/>
    <w:rsid w:val="00EA17C2"/>
    <w:rsid w:val="00EB7576"/>
    <w:rsid w:val="00EC7DC8"/>
    <w:rsid w:val="00F046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holesale.frontier.com/wholesale/notifications-and-new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