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RPr="00ED58CD" w:rsidP="006A7D75">
            <w:pPr>
              <w:jc w:val="center"/>
              <w:rPr>
                <w:b/>
                <w:sz w:val="22"/>
                <w:szCs w:val="22"/>
              </w:rPr>
            </w:pPr>
            <w:bookmarkStart w:id="0" w:name="_Hlk21344028"/>
            <w:r w:rsidRPr="00ED58CD">
              <w:rPr>
                <w:b/>
                <w:i/>
                <w:noProof/>
                <w:sz w:val="22"/>
                <w:szCs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9678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ED58CD" w:rsidP="00B57131">
            <w:pPr>
              <w:rPr>
                <w:b/>
                <w:bCs/>
                <w:sz w:val="22"/>
                <w:szCs w:val="22"/>
              </w:rPr>
            </w:pPr>
          </w:p>
          <w:p w:rsidR="007A44F8" w:rsidRPr="00465F27" w:rsidP="00BB4E29">
            <w:pPr>
              <w:rPr>
                <w:b/>
                <w:bCs/>
                <w:sz w:val="22"/>
                <w:szCs w:val="22"/>
              </w:rPr>
            </w:pPr>
            <w:r w:rsidRPr="00465F27">
              <w:rPr>
                <w:b/>
                <w:bCs/>
                <w:sz w:val="22"/>
                <w:szCs w:val="22"/>
              </w:rPr>
              <w:t xml:space="preserve">Media Contact: </w:t>
            </w:r>
          </w:p>
          <w:p w:rsidR="004F0C79" w:rsidRPr="008A3940" w:rsidP="004F0C79">
            <w:pPr>
              <w:rPr>
                <w:bCs/>
                <w:sz w:val="22"/>
                <w:szCs w:val="22"/>
              </w:rPr>
            </w:pPr>
            <w:r>
              <w:rPr>
                <w:bCs/>
                <w:sz w:val="22"/>
                <w:szCs w:val="22"/>
              </w:rPr>
              <w:t>Tina</w:t>
            </w:r>
            <w:r w:rsidRPr="008A3940">
              <w:rPr>
                <w:bCs/>
                <w:sz w:val="22"/>
                <w:szCs w:val="22"/>
              </w:rPr>
              <w:t xml:space="preserve"> </w:t>
            </w:r>
            <w:r>
              <w:rPr>
                <w:bCs/>
                <w:sz w:val="22"/>
                <w:szCs w:val="22"/>
              </w:rPr>
              <w:t>Pelkey</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w:t>
            </w:r>
            <w:r>
              <w:rPr>
                <w:bCs/>
                <w:sz w:val="22"/>
                <w:szCs w:val="22"/>
              </w:rPr>
              <w:t>36</w:t>
            </w:r>
          </w:p>
          <w:p w:rsidR="004F0C79" w:rsidRPr="008A3940" w:rsidP="004F0C79">
            <w:pPr>
              <w:rPr>
                <w:bCs/>
                <w:sz w:val="22"/>
                <w:szCs w:val="22"/>
              </w:rPr>
            </w:pPr>
            <w:r>
              <w:rPr>
                <w:bCs/>
                <w:sz w:val="22"/>
                <w:szCs w:val="22"/>
              </w:rPr>
              <w:t>tina</w:t>
            </w:r>
            <w:r w:rsidRPr="008A3940">
              <w:rPr>
                <w:bCs/>
                <w:sz w:val="22"/>
                <w:szCs w:val="22"/>
              </w:rPr>
              <w:t>.</w:t>
            </w:r>
            <w:r>
              <w:rPr>
                <w:bCs/>
                <w:sz w:val="22"/>
                <w:szCs w:val="22"/>
              </w:rPr>
              <w:t>pelkey</w:t>
            </w:r>
            <w:r w:rsidRPr="008A3940">
              <w:rPr>
                <w:bCs/>
                <w:sz w:val="22"/>
                <w:szCs w:val="22"/>
              </w:rPr>
              <w:t>@fcc.gov</w:t>
            </w:r>
          </w:p>
          <w:p w:rsidR="00A7034E" w:rsidRPr="00465F27" w:rsidP="00BB4E29">
            <w:pPr>
              <w:rPr>
                <w:bCs/>
                <w:sz w:val="22"/>
                <w:szCs w:val="22"/>
              </w:rPr>
            </w:pPr>
          </w:p>
          <w:p w:rsidR="007A44F8" w:rsidP="00845193">
            <w:pPr>
              <w:rPr>
                <w:b/>
                <w:sz w:val="22"/>
                <w:szCs w:val="22"/>
              </w:rPr>
            </w:pPr>
            <w:r w:rsidRPr="00465F27">
              <w:rPr>
                <w:b/>
                <w:sz w:val="22"/>
                <w:szCs w:val="22"/>
              </w:rPr>
              <w:t>For Immediate Release</w:t>
            </w:r>
          </w:p>
          <w:p w:rsidR="00845193" w:rsidRPr="00465F27" w:rsidP="00B72DC8">
            <w:pPr>
              <w:spacing w:after="120"/>
              <w:rPr>
                <w:b/>
                <w:sz w:val="22"/>
                <w:szCs w:val="22"/>
              </w:rPr>
            </w:pPr>
          </w:p>
          <w:p w:rsidR="00A7034E" w:rsidRPr="00073C47" w:rsidP="00A7034E">
            <w:pPr>
              <w:tabs>
                <w:tab w:val="left" w:pos="8625"/>
              </w:tabs>
              <w:jc w:val="center"/>
              <w:rPr>
                <w:b/>
                <w:bCs/>
                <w:sz w:val="26"/>
                <w:szCs w:val="26"/>
              </w:rPr>
            </w:pPr>
            <w:r w:rsidRPr="00073C47">
              <w:rPr>
                <w:b/>
                <w:bCs/>
                <w:sz w:val="26"/>
                <w:szCs w:val="26"/>
              </w:rPr>
              <w:t xml:space="preserve">FCC </w:t>
            </w:r>
            <w:r w:rsidRPr="00073C47" w:rsidR="00B7328C">
              <w:rPr>
                <w:b/>
                <w:bCs/>
                <w:sz w:val="26"/>
                <w:szCs w:val="26"/>
              </w:rPr>
              <w:t xml:space="preserve">ISSUES PUBLIC SAFETY </w:t>
            </w:r>
            <w:r w:rsidR="00C63F83">
              <w:rPr>
                <w:b/>
                <w:bCs/>
                <w:sz w:val="26"/>
                <w:szCs w:val="26"/>
              </w:rPr>
              <w:t xml:space="preserve">AND TELEHEALTH </w:t>
            </w:r>
            <w:r w:rsidRPr="00073C47">
              <w:rPr>
                <w:b/>
                <w:bCs/>
                <w:sz w:val="26"/>
                <w:szCs w:val="26"/>
              </w:rPr>
              <w:t xml:space="preserve">REPORTS FROM </w:t>
            </w:r>
          </w:p>
          <w:p w:rsidR="000361FD" w:rsidRPr="00073C47" w:rsidP="00A7034E">
            <w:pPr>
              <w:tabs>
                <w:tab w:val="left" w:pos="8625"/>
              </w:tabs>
              <w:jc w:val="center"/>
              <w:rPr>
                <w:b/>
                <w:bCs/>
                <w:sz w:val="26"/>
                <w:szCs w:val="26"/>
              </w:rPr>
            </w:pPr>
            <w:r>
              <w:rPr>
                <w:b/>
                <w:bCs/>
                <w:sz w:val="26"/>
                <w:szCs w:val="26"/>
              </w:rPr>
              <w:t xml:space="preserve">ITS </w:t>
            </w:r>
            <w:r w:rsidRPr="00073C47" w:rsidR="00A7034E">
              <w:rPr>
                <w:b/>
                <w:bCs/>
                <w:sz w:val="26"/>
                <w:szCs w:val="26"/>
              </w:rPr>
              <w:t xml:space="preserve">INTERGOVERNMENTAL ADVISORY COMMITTEE </w:t>
            </w:r>
          </w:p>
          <w:p w:rsidR="00F61155" w:rsidRPr="00ED58CD" w:rsidP="00BB4E29">
            <w:pPr>
              <w:tabs>
                <w:tab w:val="left" w:pos="8625"/>
              </w:tabs>
              <w:jc w:val="center"/>
              <w:rPr>
                <w:i/>
                <w:color w:val="F2F2F2" w:themeColor="background1" w:themeShade="F2"/>
                <w:sz w:val="22"/>
                <w:szCs w:val="22"/>
              </w:rPr>
            </w:pPr>
          </w:p>
          <w:p w:rsidR="00226594" w:rsidP="006902AB">
            <w:pPr>
              <w:rPr>
                <w:sz w:val="22"/>
                <w:szCs w:val="22"/>
              </w:rPr>
            </w:pPr>
            <w:r w:rsidRPr="00ED58CD">
              <w:rPr>
                <w:sz w:val="22"/>
                <w:szCs w:val="22"/>
              </w:rPr>
              <w:t xml:space="preserve">WASHINGTON, </w:t>
            </w:r>
            <w:r w:rsidR="00780063">
              <w:rPr>
                <w:sz w:val="22"/>
                <w:szCs w:val="22"/>
              </w:rPr>
              <w:t>November 7</w:t>
            </w:r>
            <w:r w:rsidRPr="00ED58CD">
              <w:rPr>
                <w:sz w:val="22"/>
                <w:szCs w:val="22"/>
              </w:rPr>
              <w:t xml:space="preserve">, 2019—The Federal </w:t>
            </w:r>
            <w:r w:rsidRPr="00ED58CD">
              <w:rPr>
                <w:sz w:val="22"/>
                <w:szCs w:val="22"/>
              </w:rPr>
              <w:t>Communications Commission today</w:t>
            </w:r>
            <w:r w:rsidRPr="00ED58CD" w:rsidR="000A1804">
              <w:rPr>
                <w:sz w:val="22"/>
                <w:szCs w:val="22"/>
              </w:rPr>
              <w:t xml:space="preserve"> </w:t>
            </w:r>
            <w:r w:rsidR="00465F27">
              <w:rPr>
                <w:sz w:val="22"/>
                <w:szCs w:val="22"/>
              </w:rPr>
              <w:t>released four reports from</w:t>
            </w:r>
            <w:r w:rsidR="00B1240B">
              <w:rPr>
                <w:sz w:val="22"/>
                <w:szCs w:val="22"/>
              </w:rPr>
              <w:t xml:space="preserve"> its </w:t>
            </w:r>
            <w:r w:rsidRPr="00ED58CD" w:rsidR="000503DB">
              <w:rPr>
                <w:sz w:val="22"/>
                <w:szCs w:val="22"/>
              </w:rPr>
              <w:t>Intergovernmental Advisory Committee</w:t>
            </w:r>
            <w:r w:rsidR="00465F27">
              <w:rPr>
                <w:sz w:val="22"/>
                <w:szCs w:val="22"/>
              </w:rPr>
              <w:t>.  The reports aim</w:t>
            </w:r>
            <w:r w:rsidRPr="00ED58CD" w:rsidR="000503DB">
              <w:rPr>
                <w:sz w:val="22"/>
                <w:szCs w:val="22"/>
              </w:rPr>
              <w:t xml:space="preserve"> </w:t>
            </w:r>
            <w:r w:rsidR="00996F07">
              <w:rPr>
                <w:sz w:val="22"/>
                <w:szCs w:val="22"/>
              </w:rPr>
              <w:t>to</w:t>
            </w:r>
            <w:r w:rsidR="00B7328C">
              <w:rPr>
                <w:sz w:val="22"/>
                <w:szCs w:val="22"/>
              </w:rPr>
              <w:t xml:space="preserve"> assist </w:t>
            </w:r>
            <w:r w:rsidRPr="004029E7" w:rsidR="004029E7">
              <w:rPr>
                <w:sz w:val="22"/>
                <w:szCs w:val="22"/>
              </w:rPr>
              <w:t>state, local, Tribal</w:t>
            </w:r>
            <w:r w:rsidR="00C76CE7">
              <w:rPr>
                <w:sz w:val="22"/>
                <w:szCs w:val="22"/>
              </w:rPr>
              <w:t>,</w:t>
            </w:r>
            <w:r w:rsidRPr="004029E7" w:rsidR="004029E7">
              <w:rPr>
                <w:sz w:val="22"/>
                <w:szCs w:val="22"/>
              </w:rPr>
              <w:t xml:space="preserve"> and territorial </w:t>
            </w:r>
            <w:r w:rsidR="004029E7">
              <w:rPr>
                <w:sz w:val="22"/>
                <w:szCs w:val="22"/>
              </w:rPr>
              <w:t>official</w:t>
            </w:r>
            <w:r w:rsidR="00465F27">
              <w:rPr>
                <w:sz w:val="22"/>
                <w:szCs w:val="22"/>
              </w:rPr>
              <w:t>s</w:t>
            </w:r>
            <w:r w:rsidR="004029E7">
              <w:rPr>
                <w:sz w:val="22"/>
                <w:szCs w:val="22"/>
              </w:rPr>
              <w:t xml:space="preserve"> and other </w:t>
            </w:r>
            <w:r w:rsidR="00B7328C">
              <w:rPr>
                <w:sz w:val="22"/>
                <w:szCs w:val="22"/>
              </w:rPr>
              <w:t>stakeholders</w:t>
            </w:r>
            <w:r w:rsidR="00B1240B">
              <w:rPr>
                <w:sz w:val="22"/>
                <w:szCs w:val="22"/>
              </w:rPr>
              <w:t xml:space="preserve"> by offering recommendations and best practices </w:t>
            </w:r>
            <w:r w:rsidR="00AD190B">
              <w:rPr>
                <w:sz w:val="22"/>
                <w:szCs w:val="22"/>
              </w:rPr>
              <w:t xml:space="preserve">to </w:t>
            </w:r>
            <w:r w:rsidR="00B7328C">
              <w:rPr>
                <w:sz w:val="22"/>
                <w:szCs w:val="22"/>
              </w:rPr>
              <w:t>improv</w:t>
            </w:r>
            <w:r w:rsidR="00AD190B">
              <w:rPr>
                <w:sz w:val="22"/>
                <w:szCs w:val="22"/>
              </w:rPr>
              <w:t>e</w:t>
            </w:r>
            <w:r w:rsidR="00B7328C">
              <w:rPr>
                <w:sz w:val="22"/>
                <w:szCs w:val="22"/>
              </w:rPr>
              <w:t xml:space="preserve"> emergency alerting, </w:t>
            </w:r>
            <w:r w:rsidR="0037343B">
              <w:rPr>
                <w:sz w:val="22"/>
                <w:szCs w:val="22"/>
              </w:rPr>
              <w:t xml:space="preserve">bolster </w:t>
            </w:r>
            <w:r w:rsidR="00B7328C">
              <w:rPr>
                <w:sz w:val="22"/>
                <w:szCs w:val="22"/>
              </w:rPr>
              <w:t xml:space="preserve">communications reliability during disasters, and </w:t>
            </w:r>
            <w:r w:rsidR="0037343B">
              <w:rPr>
                <w:sz w:val="22"/>
                <w:szCs w:val="22"/>
              </w:rPr>
              <w:t>promot</w:t>
            </w:r>
            <w:r w:rsidR="00AD190B">
              <w:rPr>
                <w:sz w:val="22"/>
                <w:szCs w:val="22"/>
              </w:rPr>
              <w:t>e</w:t>
            </w:r>
            <w:r w:rsidR="0037343B">
              <w:rPr>
                <w:sz w:val="22"/>
                <w:szCs w:val="22"/>
              </w:rPr>
              <w:t xml:space="preserve"> the use of telemedicine</w:t>
            </w:r>
            <w:r w:rsidR="00B7328C">
              <w:rPr>
                <w:sz w:val="22"/>
                <w:szCs w:val="22"/>
              </w:rPr>
              <w:t>.</w:t>
            </w:r>
          </w:p>
          <w:p w:rsidR="006902AB" w:rsidP="00073C47">
            <w:pPr>
              <w:rPr>
                <w:sz w:val="22"/>
                <w:szCs w:val="22"/>
              </w:rPr>
            </w:pPr>
          </w:p>
          <w:p w:rsidR="000357C6" w:rsidRPr="000357C6" w:rsidP="000357C6">
            <w:pPr>
              <w:rPr>
                <w:sz w:val="22"/>
                <w:szCs w:val="22"/>
              </w:rPr>
            </w:pPr>
            <w:r w:rsidRPr="000357C6">
              <w:rPr>
                <w:sz w:val="22"/>
                <w:szCs w:val="22"/>
              </w:rPr>
              <w:t>“The Intergovernmental Advisory Committee’s reports offer valuable insights and recommendations that will help inform the work of the FCC and that of our state, local, Tribal, and territorial government partners,” said FCC Chairman Ajit Pai.  “We welcome t</w:t>
            </w:r>
            <w:r w:rsidRPr="000357C6">
              <w:rPr>
                <w:sz w:val="22"/>
                <w:szCs w:val="22"/>
              </w:rPr>
              <w:t xml:space="preserve">he input and perspective of these officials as we work to enhance public safety, disaster preparedness, and access to telemedicine.  I thank the Committee’s members for lending their time and expertise to this important effort.” </w:t>
            </w:r>
          </w:p>
          <w:p w:rsidR="006902AB" w:rsidRPr="00ED58CD" w:rsidP="00073C47">
            <w:pPr>
              <w:rPr>
                <w:sz w:val="22"/>
                <w:szCs w:val="22"/>
              </w:rPr>
            </w:pPr>
          </w:p>
          <w:p w:rsidR="000503DB" w:rsidP="006902AB">
            <w:pPr>
              <w:rPr>
                <w:sz w:val="22"/>
                <w:szCs w:val="22"/>
              </w:rPr>
            </w:pPr>
            <w:r w:rsidRPr="00ED58CD">
              <w:rPr>
                <w:sz w:val="22"/>
                <w:szCs w:val="22"/>
              </w:rPr>
              <w:t>The</w:t>
            </w:r>
            <w:r w:rsidR="00AD190B">
              <w:rPr>
                <w:sz w:val="22"/>
                <w:szCs w:val="22"/>
              </w:rPr>
              <w:t xml:space="preserve"> following</w:t>
            </w:r>
            <w:r w:rsidRPr="00ED58CD">
              <w:rPr>
                <w:sz w:val="22"/>
                <w:szCs w:val="22"/>
              </w:rPr>
              <w:t xml:space="preserve"> reports</w:t>
            </w:r>
            <w:r w:rsidR="00986F13">
              <w:rPr>
                <w:sz w:val="22"/>
                <w:szCs w:val="22"/>
              </w:rPr>
              <w:t xml:space="preserve"> offer recommendations and best practices </w:t>
            </w:r>
            <w:r w:rsidR="00AD190B">
              <w:rPr>
                <w:sz w:val="22"/>
                <w:szCs w:val="22"/>
              </w:rPr>
              <w:t>based on the experience and expertise of state, local, Tribal, and territorial officials.</w:t>
            </w:r>
          </w:p>
          <w:p w:rsidR="006902AB" w:rsidRPr="00ED58CD" w:rsidP="00073C47">
            <w:pPr>
              <w:rPr>
                <w:sz w:val="22"/>
                <w:szCs w:val="22"/>
              </w:rPr>
            </w:pPr>
          </w:p>
          <w:p w:rsidR="000503DB" w:rsidP="00073C47">
            <w:pPr>
              <w:numPr>
                <w:ilvl w:val="0"/>
                <w:numId w:val="3"/>
              </w:numPr>
              <w:rPr>
                <w:sz w:val="22"/>
                <w:szCs w:val="22"/>
              </w:rPr>
            </w:pPr>
            <w:r w:rsidRPr="00073C47">
              <w:rPr>
                <w:b/>
                <w:sz w:val="22"/>
                <w:szCs w:val="22"/>
              </w:rPr>
              <w:t>Multilingual Alerts</w:t>
            </w:r>
            <w:r>
              <w:rPr>
                <w:sz w:val="22"/>
                <w:szCs w:val="22"/>
              </w:rPr>
              <w:t xml:space="preserve"> – The Committee issued a report on</w:t>
            </w:r>
            <w:r w:rsidR="00AD190B">
              <w:rPr>
                <w:sz w:val="22"/>
                <w:szCs w:val="22"/>
              </w:rPr>
              <w:t xml:space="preserve"> the</w:t>
            </w:r>
            <w:r>
              <w:rPr>
                <w:sz w:val="22"/>
                <w:szCs w:val="22"/>
              </w:rPr>
              <w:t xml:space="preserve"> d</w:t>
            </w:r>
            <w:r w:rsidRPr="00ED58CD">
              <w:rPr>
                <w:sz w:val="22"/>
                <w:szCs w:val="22"/>
              </w:rPr>
              <w:t xml:space="preserve">elivery of multilingual emergency alerts to </w:t>
            </w:r>
            <w:r w:rsidR="00996F07">
              <w:rPr>
                <w:sz w:val="22"/>
                <w:szCs w:val="22"/>
              </w:rPr>
              <w:t>people</w:t>
            </w:r>
            <w:r w:rsidRPr="00ED58CD" w:rsidR="00996F07">
              <w:rPr>
                <w:sz w:val="22"/>
                <w:szCs w:val="22"/>
              </w:rPr>
              <w:t xml:space="preserve"> </w:t>
            </w:r>
            <w:r w:rsidRPr="00ED58CD">
              <w:rPr>
                <w:sz w:val="22"/>
                <w:szCs w:val="22"/>
              </w:rPr>
              <w:t xml:space="preserve">who communicate </w:t>
            </w:r>
            <w:r w:rsidRPr="00ED58CD">
              <w:rPr>
                <w:sz w:val="22"/>
                <w:szCs w:val="22"/>
              </w:rPr>
              <w:t xml:space="preserve">in a language other than English or </w:t>
            </w:r>
            <w:r w:rsidR="00996F07">
              <w:rPr>
                <w:sz w:val="22"/>
                <w:szCs w:val="22"/>
              </w:rPr>
              <w:t xml:space="preserve">who </w:t>
            </w:r>
            <w:r w:rsidRPr="00ED58CD">
              <w:rPr>
                <w:sz w:val="22"/>
                <w:szCs w:val="22"/>
              </w:rPr>
              <w:t>have a limited understanding of the English language</w:t>
            </w:r>
            <w:r w:rsidR="00E750FB">
              <w:rPr>
                <w:sz w:val="22"/>
                <w:szCs w:val="22"/>
              </w:rPr>
              <w:t xml:space="preserve">.  </w:t>
            </w:r>
            <w:r w:rsidRPr="00E750FB" w:rsidR="00E750FB">
              <w:rPr>
                <w:sz w:val="22"/>
                <w:szCs w:val="22"/>
              </w:rPr>
              <w:t>The report also makes recommendations regarding how alert initiators can deliver alerts to people with disabilities, which the Committee determined presented similar challenges to the delivery of alerts to non-English speakers</w:t>
            </w:r>
            <w:r w:rsidRPr="00ED58CD">
              <w:rPr>
                <w:sz w:val="22"/>
                <w:szCs w:val="22"/>
              </w:rPr>
              <w:t xml:space="preserve">. </w:t>
            </w:r>
            <w:r>
              <w:rPr>
                <w:sz w:val="22"/>
                <w:szCs w:val="22"/>
              </w:rPr>
              <w:t xml:space="preserve"> The full report is available at:</w:t>
            </w:r>
            <w:r w:rsidRPr="00ED58CD">
              <w:rPr>
                <w:sz w:val="22"/>
                <w:szCs w:val="22"/>
              </w:rPr>
              <w:t xml:space="preserve"> </w:t>
            </w:r>
            <w:bookmarkStart w:id="1" w:name="_Hlk21004658"/>
            <w:bookmarkEnd w:id="1"/>
            <w:hyperlink r:id="rId5" w:history="1">
              <w:r w:rsidRPr="002C2A81" w:rsidR="0067644B">
                <w:rPr>
                  <w:rStyle w:val="Hyperlink"/>
                  <w:sz w:val="22"/>
                  <w:szCs w:val="22"/>
                </w:rPr>
                <w:t>https://docs.fcc.gov/public/attachments/DOC-360696A3.pdf</w:t>
              </w:r>
            </w:hyperlink>
          </w:p>
          <w:p w:rsidR="000503DB" w:rsidP="00073C47">
            <w:pPr>
              <w:numPr>
                <w:ilvl w:val="0"/>
                <w:numId w:val="3"/>
              </w:numPr>
              <w:rPr>
                <w:sz w:val="22"/>
                <w:szCs w:val="22"/>
              </w:rPr>
            </w:pPr>
            <w:r w:rsidRPr="00073C47">
              <w:rPr>
                <w:b/>
                <w:sz w:val="22"/>
                <w:szCs w:val="22"/>
              </w:rPr>
              <w:t>Plan</w:t>
            </w:r>
            <w:r>
              <w:rPr>
                <w:b/>
                <w:sz w:val="22"/>
                <w:szCs w:val="22"/>
              </w:rPr>
              <w:t xml:space="preserve">s </w:t>
            </w:r>
            <w:r w:rsidR="008512C8">
              <w:rPr>
                <w:b/>
                <w:sz w:val="22"/>
                <w:szCs w:val="22"/>
              </w:rPr>
              <w:t>for Alert</w:t>
            </w:r>
            <w:r>
              <w:rPr>
                <w:b/>
                <w:sz w:val="22"/>
                <w:szCs w:val="22"/>
              </w:rPr>
              <w:t xml:space="preserve"> </w:t>
            </w:r>
            <w:r w:rsidR="008512C8">
              <w:rPr>
                <w:b/>
                <w:sz w:val="22"/>
                <w:szCs w:val="22"/>
              </w:rPr>
              <w:t>Initiation</w:t>
            </w:r>
            <w:r>
              <w:rPr>
                <w:sz w:val="22"/>
                <w:szCs w:val="22"/>
              </w:rPr>
              <w:t xml:space="preserve"> – The Committee offer</w:t>
            </w:r>
            <w:r w:rsidR="00073C47">
              <w:rPr>
                <w:sz w:val="22"/>
                <w:szCs w:val="22"/>
              </w:rPr>
              <w:t>ed</w:t>
            </w:r>
            <w:r>
              <w:rPr>
                <w:sz w:val="22"/>
                <w:szCs w:val="22"/>
              </w:rPr>
              <w:t xml:space="preserve"> recommendations and best practices on i</w:t>
            </w:r>
            <w:r w:rsidR="00986F13">
              <w:rPr>
                <w:sz w:val="22"/>
                <w:szCs w:val="22"/>
              </w:rPr>
              <w:t xml:space="preserve">mproving </w:t>
            </w:r>
            <w:r w:rsidRPr="00ED58CD">
              <w:rPr>
                <w:sz w:val="22"/>
                <w:szCs w:val="22"/>
              </w:rPr>
              <w:t xml:space="preserve">communication between </w:t>
            </w:r>
            <w:r w:rsidRPr="004029E7">
              <w:rPr>
                <w:sz w:val="22"/>
                <w:szCs w:val="22"/>
              </w:rPr>
              <w:t>state, local, Tribal</w:t>
            </w:r>
            <w:r>
              <w:rPr>
                <w:sz w:val="22"/>
                <w:szCs w:val="22"/>
              </w:rPr>
              <w:t>,</w:t>
            </w:r>
            <w:r w:rsidRPr="004029E7">
              <w:rPr>
                <w:sz w:val="22"/>
                <w:szCs w:val="22"/>
              </w:rPr>
              <w:t xml:space="preserve"> and territorial </w:t>
            </w:r>
            <w:r w:rsidRPr="00ED58CD">
              <w:rPr>
                <w:sz w:val="22"/>
                <w:szCs w:val="22"/>
              </w:rPr>
              <w:t xml:space="preserve">governments and State Emergency Communication Committees to ensure that Emergency Alerting System procedures, including </w:t>
            </w:r>
            <w:r w:rsidR="00AA26F4">
              <w:rPr>
                <w:sz w:val="22"/>
                <w:szCs w:val="22"/>
              </w:rPr>
              <w:t xml:space="preserve">those for </w:t>
            </w:r>
            <w:r w:rsidRPr="00ED58CD">
              <w:rPr>
                <w:sz w:val="22"/>
                <w:szCs w:val="22"/>
              </w:rPr>
              <w:t xml:space="preserve">initiation and cancellation of actual alerts and tests, are mutually understood, agreed upon, and documented in </w:t>
            </w:r>
            <w:r w:rsidR="00996F07">
              <w:rPr>
                <w:sz w:val="22"/>
                <w:szCs w:val="22"/>
              </w:rPr>
              <w:t>s</w:t>
            </w:r>
            <w:r w:rsidRPr="00ED58CD">
              <w:rPr>
                <w:sz w:val="22"/>
                <w:szCs w:val="22"/>
              </w:rPr>
              <w:t xml:space="preserve">tate </w:t>
            </w:r>
            <w:r w:rsidR="00996F07">
              <w:rPr>
                <w:sz w:val="22"/>
                <w:szCs w:val="22"/>
              </w:rPr>
              <w:t>p</w:t>
            </w:r>
            <w:r w:rsidRPr="00ED58CD">
              <w:rPr>
                <w:sz w:val="22"/>
                <w:szCs w:val="22"/>
              </w:rPr>
              <w:t xml:space="preserve">lans.  </w:t>
            </w:r>
            <w:r>
              <w:rPr>
                <w:sz w:val="22"/>
                <w:szCs w:val="22"/>
              </w:rPr>
              <w:t>The full report is available at:</w:t>
            </w:r>
            <w:r w:rsidRPr="00ED58CD">
              <w:rPr>
                <w:sz w:val="22"/>
                <w:szCs w:val="22"/>
              </w:rPr>
              <w:t xml:space="preserve"> </w:t>
            </w:r>
            <w:hyperlink r:id="rId6" w:history="1">
              <w:r w:rsidRPr="002C2A81" w:rsidR="0067644B">
                <w:rPr>
                  <w:rStyle w:val="Hyperlink"/>
                  <w:sz w:val="22"/>
                  <w:szCs w:val="22"/>
                </w:rPr>
                <w:t>h</w:t>
              </w:r>
              <w:r w:rsidRPr="002C2A81" w:rsidR="0067644B">
                <w:rPr>
                  <w:rStyle w:val="Hyperlink"/>
                  <w:sz w:val="22"/>
                  <w:szCs w:val="22"/>
                </w:rPr>
                <w:t>ttps://docs.fcc.gov/public/attachments/DOC-360696A2.pdf</w:t>
              </w:r>
            </w:hyperlink>
          </w:p>
          <w:p w:rsidR="000503DB" w:rsidP="00073C47">
            <w:pPr>
              <w:numPr>
                <w:ilvl w:val="0"/>
                <w:numId w:val="3"/>
              </w:numPr>
              <w:rPr>
                <w:sz w:val="22"/>
                <w:szCs w:val="22"/>
              </w:rPr>
            </w:pPr>
            <w:r w:rsidRPr="00073C47">
              <w:rPr>
                <w:b/>
                <w:sz w:val="22"/>
                <w:szCs w:val="22"/>
              </w:rPr>
              <w:t>Disaster Resiliency</w:t>
            </w:r>
            <w:r>
              <w:rPr>
                <w:sz w:val="22"/>
                <w:szCs w:val="22"/>
              </w:rPr>
              <w:t xml:space="preserve"> – The Committee iss</w:t>
            </w:r>
            <w:r>
              <w:rPr>
                <w:sz w:val="22"/>
                <w:szCs w:val="22"/>
              </w:rPr>
              <w:t>ued recommendations on f</w:t>
            </w:r>
            <w:r w:rsidRPr="00ED58CD">
              <w:rPr>
                <w:sz w:val="22"/>
                <w:szCs w:val="22"/>
              </w:rPr>
              <w:t xml:space="preserve">ine-tuning </w:t>
            </w:r>
            <w:r w:rsidRPr="004029E7">
              <w:rPr>
                <w:sz w:val="22"/>
                <w:szCs w:val="22"/>
              </w:rPr>
              <w:t>state, local, Tribal</w:t>
            </w:r>
            <w:r>
              <w:rPr>
                <w:sz w:val="22"/>
                <w:szCs w:val="22"/>
              </w:rPr>
              <w:t>,</w:t>
            </w:r>
            <w:r w:rsidRPr="004029E7">
              <w:rPr>
                <w:sz w:val="22"/>
                <w:szCs w:val="22"/>
              </w:rPr>
              <w:t xml:space="preserve"> and territorial </w:t>
            </w:r>
            <w:r w:rsidRPr="00ED58CD">
              <w:rPr>
                <w:sz w:val="22"/>
                <w:szCs w:val="22"/>
              </w:rPr>
              <w:t>coordination for disaster preparation, response, and restoration efforts, including best practices to promote resilient communications during and after an incident to help ensure firs</w:t>
            </w:r>
            <w:r w:rsidRPr="00ED58CD">
              <w:rPr>
                <w:sz w:val="22"/>
                <w:szCs w:val="22"/>
              </w:rPr>
              <w:t xml:space="preserve">t responders and the public have access to reliable communications. </w:t>
            </w:r>
            <w:r>
              <w:rPr>
                <w:sz w:val="22"/>
                <w:szCs w:val="22"/>
              </w:rPr>
              <w:t xml:space="preserve"> The full report is available at:</w:t>
            </w:r>
            <w:r w:rsidRPr="00ED58CD">
              <w:rPr>
                <w:sz w:val="22"/>
                <w:szCs w:val="22"/>
              </w:rPr>
              <w:t xml:space="preserve"> </w:t>
            </w:r>
            <w:hyperlink r:id="rId7" w:history="1">
              <w:r w:rsidRPr="002C2A81" w:rsidR="0067644B">
                <w:rPr>
                  <w:rStyle w:val="Hyperlink"/>
                  <w:sz w:val="22"/>
                  <w:szCs w:val="22"/>
                </w:rPr>
                <w:t>https://docs.fcc.gov/public/attachments/DOC-360696A4.pdf</w:t>
              </w:r>
            </w:hyperlink>
          </w:p>
          <w:p w:rsidR="0067644B" w:rsidRPr="00ED58CD" w:rsidP="0067644B">
            <w:pPr>
              <w:ind w:left="720"/>
              <w:rPr>
                <w:sz w:val="22"/>
                <w:szCs w:val="22"/>
              </w:rPr>
            </w:pPr>
          </w:p>
          <w:p w:rsidR="000503DB" w:rsidRPr="00567BC0" w:rsidP="00567BC0">
            <w:pPr>
              <w:numPr>
                <w:ilvl w:val="0"/>
                <w:numId w:val="3"/>
              </w:numPr>
              <w:rPr>
                <w:sz w:val="22"/>
                <w:szCs w:val="22"/>
              </w:rPr>
            </w:pPr>
            <w:r w:rsidRPr="00073C47">
              <w:rPr>
                <w:rFonts w:eastAsia="Calibri"/>
                <w:b/>
                <w:sz w:val="22"/>
                <w:szCs w:val="22"/>
              </w:rPr>
              <w:t>Clearing the Way for Telemedicine</w:t>
            </w:r>
            <w:r>
              <w:rPr>
                <w:rFonts w:eastAsia="Calibri"/>
                <w:sz w:val="22"/>
                <w:szCs w:val="22"/>
              </w:rPr>
              <w:t xml:space="preserve"> – Committee members i</w:t>
            </w:r>
            <w:r w:rsidRPr="00ED58CD">
              <w:rPr>
                <w:rFonts w:eastAsia="Calibri"/>
                <w:sz w:val="22"/>
                <w:szCs w:val="22"/>
              </w:rPr>
              <w:t>dentif</w:t>
            </w:r>
            <w:r>
              <w:rPr>
                <w:rFonts w:eastAsia="Calibri"/>
                <w:sz w:val="22"/>
                <w:szCs w:val="22"/>
              </w:rPr>
              <w:t>ied</w:t>
            </w:r>
            <w:r w:rsidR="00986F13">
              <w:rPr>
                <w:rFonts w:eastAsia="Calibri"/>
                <w:sz w:val="22"/>
                <w:szCs w:val="22"/>
              </w:rPr>
              <w:t xml:space="preserve"> </w:t>
            </w:r>
            <w:r w:rsidRPr="004029E7">
              <w:rPr>
                <w:sz w:val="22"/>
                <w:szCs w:val="22"/>
              </w:rPr>
              <w:t>state, local, Tribal</w:t>
            </w:r>
            <w:r>
              <w:rPr>
                <w:sz w:val="22"/>
                <w:szCs w:val="22"/>
              </w:rPr>
              <w:t>,</w:t>
            </w:r>
            <w:r w:rsidRPr="004029E7">
              <w:rPr>
                <w:sz w:val="22"/>
                <w:szCs w:val="22"/>
              </w:rPr>
              <w:t xml:space="preserve"> and territorial </w:t>
            </w:r>
            <w:r w:rsidRPr="00ED58CD">
              <w:rPr>
                <w:rFonts w:eastAsia="Calibri"/>
                <w:sz w:val="22"/>
                <w:szCs w:val="22"/>
              </w:rPr>
              <w:t xml:space="preserve">regulatory barriers to </w:t>
            </w:r>
            <w:r w:rsidR="0083031D">
              <w:rPr>
                <w:rFonts w:eastAsia="Calibri"/>
                <w:sz w:val="22"/>
                <w:szCs w:val="22"/>
              </w:rPr>
              <w:t xml:space="preserve">the use of </w:t>
            </w:r>
            <w:r w:rsidR="00B7328C">
              <w:rPr>
                <w:rFonts w:eastAsia="Calibri"/>
                <w:sz w:val="22"/>
                <w:szCs w:val="22"/>
              </w:rPr>
              <w:t>t</w:t>
            </w:r>
            <w:r w:rsidRPr="00ED58CD">
              <w:rPr>
                <w:rFonts w:eastAsia="Calibri"/>
                <w:sz w:val="22"/>
                <w:szCs w:val="22"/>
              </w:rPr>
              <w:t>elemedicine</w:t>
            </w:r>
            <w:r w:rsidR="00F5096F">
              <w:rPr>
                <w:rFonts w:eastAsia="Calibri"/>
                <w:sz w:val="22"/>
                <w:szCs w:val="22"/>
              </w:rPr>
              <w:t>, as well as incentives that promote the adoption of telemedicine</w:t>
            </w:r>
            <w:r w:rsidRPr="00ED58CD">
              <w:rPr>
                <w:rFonts w:eastAsia="Calibri"/>
                <w:sz w:val="22"/>
                <w:szCs w:val="22"/>
              </w:rPr>
              <w:t>.  The report</w:t>
            </w:r>
            <w:r w:rsidR="00E85D5E">
              <w:rPr>
                <w:rFonts w:eastAsia="Calibri"/>
                <w:sz w:val="22"/>
                <w:szCs w:val="22"/>
              </w:rPr>
              <w:t xml:space="preserve"> </w:t>
            </w:r>
            <w:r w:rsidR="00F5096F">
              <w:rPr>
                <w:rFonts w:eastAsia="Calibri"/>
                <w:sz w:val="22"/>
                <w:szCs w:val="22"/>
              </w:rPr>
              <w:t>discusses</w:t>
            </w:r>
            <w:r w:rsidR="00E85D5E">
              <w:rPr>
                <w:rFonts w:eastAsia="Calibri"/>
                <w:sz w:val="22"/>
                <w:szCs w:val="22"/>
              </w:rPr>
              <w:t xml:space="preserve"> key </w:t>
            </w:r>
            <w:r w:rsidRPr="00ED58CD">
              <w:rPr>
                <w:rFonts w:eastAsia="Calibri"/>
                <w:sz w:val="22"/>
                <w:szCs w:val="22"/>
              </w:rPr>
              <w:t xml:space="preserve">issues, </w:t>
            </w:r>
            <w:r w:rsidR="00E85D5E">
              <w:rPr>
                <w:rFonts w:eastAsia="Calibri"/>
                <w:sz w:val="22"/>
                <w:szCs w:val="22"/>
              </w:rPr>
              <w:t xml:space="preserve">including </w:t>
            </w:r>
            <w:r w:rsidRPr="00ED58CD">
              <w:rPr>
                <w:rFonts w:eastAsia="Calibri"/>
                <w:sz w:val="22"/>
                <w:szCs w:val="22"/>
              </w:rPr>
              <w:t xml:space="preserve">state and local licensing laws or regulations that prevent </w:t>
            </w:r>
            <w:r w:rsidR="00B7328C">
              <w:rPr>
                <w:rFonts w:eastAsia="Calibri"/>
                <w:sz w:val="22"/>
                <w:szCs w:val="22"/>
              </w:rPr>
              <w:t>t</w:t>
            </w:r>
            <w:r w:rsidRPr="00ED58CD">
              <w:rPr>
                <w:rFonts w:eastAsia="Calibri"/>
                <w:sz w:val="22"/>
                <w:szCs w:val="22"/>
              </w:rPr>
              <w:t>elehealth providers from treating patients across state lines</w:t>
            </w:r>
            <w:r w:rsidR="00996F07">
              <w:rPr>
                <w:rFonts w:eastAsia="Calibri"/>
                <w:sz w:val="22"/>
                <w:szCs w:val="22"/>
              </w:rPr>
              <w:t>,</w:t>
            </w:r>
            <w:r w:rsidRPr="00ED58CD">
              <w:rPr>
                <w:rFonts w:eastAsia="Calibri"/>
                <w:sz w:val="22"/>
                <w:szCs w:val="22"/>
              </w:rPr>
              <w:t xml:space="preserve"> and intrastate restrictions that may inhibit the provision of telemedicine.</w:t>
            </w:r>
            <w:r w:rsidRPr="00ED58CD">
              <w:rPr>
                <w:sz w:val="22"/>
                <w:szCs w:val="22"/>
              </w:rPr>
              <w:t xml:space="preserve"> </w:t>
            </w:r>
            <w:r>
              <w:rPr>
                <w:sz w:val="22"/>
                <w:szCs w:val="22"/>
              </w:rPr>
              <w:t xml:space="preserve"> The full report is available at</w:t>
            </w:r>
            <w:r w:rsidR="00567BC0">
              <w:rPr>
                <w:sz w:val="22"/>
                <w:szCs w:val="22"/>
              </w:rPr>
              <w:t>:</w:t>
            </w:r>
            <w:r w:rsidRPr="00567BC0" w:rsidR="00967F31">
              <w:rPr>
                <w:sz w:val="22"/>
                <w:szCs w:val="22"/>
              </w:rPr>
              <w:t xml:space="preserve"> </w:t>
            </w:r>
            <w:hyperlink r:id="rId8" w:history="1">
              <w:r w:rsidRPr="00567BC0" w:rsidR="0067644B">
                <w:rPr>
                  <w:rStyle w:val="Hyperlink"/>
                  <w:sz w:val="22"/>
                  <w:szCs w:val="22"/>
                </w:rPr>
                <w:t>https://docs.fcc.gov/public/attachments/DOC-360696A5.pdf</w:t>
              </w:r>
            </w:hyperlink>
          </w:p>
          <w:p w:rsidR="009413DE" w:rsidP="00073C47">
            <w:pPr>
              <w:rPr>
                <w:sz w:val="22"/>
                <w:szCs w:val="22"/>
              </w:rPr>
            </w:pPr>
          </w:p>
          <w:p w:rsidR="00ED58CD" w:rsidP="00073C47">
            <w:pPr>
              <w:rPr>
                <w:sz w:val="22"/>
                <w:szCs w:val="22"/>
              </w:rPr>
            </w:pPr>
            <w:bookmarkStart w:id="2" w:name="_GoBack"/>
            <w:bookmarkEnd w:id="2"/>
            <w:r w:rsidRPr="00ED58CD">
              <w:rPr>
                <w:sz w:val="22"/>
                <w:szCs w:val="22"/>
              </w:rPr>
              <w:t xml:space="preserve">The </w:t>
            </w:r>
            <w:hyperlink r:id="rId9" w:history="1">
              <w:r w:rsidRPr="009C78BD" w:rsidR="00C76CE7">
                <w:rPr>
                  <w:rStyle w:val="Hyperlink"/>
                  <w:sz w:val="22"/>
                  <w:szCs w:val="22"/>
                </w:rPr>
                <w:t>Intergovernmental Advisory Committee</w:t>
              </w:r>
            </w:hyperlink>
            <w:r w:rsidR="00C76CE7">
              <w:rPr>
                <w:sz w:val="22"/>
                <w:szCs w:val="22"/>
              </w:rPr>
              <w:t xml:space="preserve"> </w:t>
            </w:r>
            <w:r w:rsidRPr="00ED58CD">
              <w:rPr>
                <w:sz w:val="22"/>
                <w:szCs w:val="22"/>
              </w:rPr>
              <w:t xml:space="preserve">provides guidance, expertise, and recommendations to the Commission on a range of issues for which </w:t>
            </w:r>
            <w:r w:rsidRPr="004029E7" w:rsidR="00C76CE7">
              <w:rPr>
                <w:sz w:val="22"/>
                <w:szCs w:val="22"/>
              </w:rPr>
              <w:t>state, local, Tribal</w:t>
            </w:r>
            <w:r w:rsidR="00C76CE7">
              <w:rPr>
                <w:sz w:val="22"/>
                <w:szCs w:val="22"/>
              </w:rPr>
              <w:t>,</w:t>
            </w:r>
            <w:r w:rsidRPr="004029E7" w:rsidR="00C76CE7">
              <w:rPr>
                <w:sz w:val="22"/>
                <w:szCs w:val="22"/>
              </w:rPr>
              <w:t xml:space="preserve"> and territorial </w:t>
            </w:r>
            <w:r w:rsidR="00EF39D3">
              <w:rPr>
                <w:sz w:val="22"/>
                <w:szCs w:val="22"/>
              </w:rPr>
              <w:t>entities</w:t>
            </w:r>
            <w:r w:rsidRPr="00ED58CD" w:rsidR="00EF39D3">
              <w:rPr>
                <w:sz w:val="22"/>
                <w:szCs w:val="22"/>
              </w:rPr>
              <w:t xml:space="preserve"> </w:t>
            </w:r>
            <w:r w:rsidRPr="00ED58CD">
              <w:rPr>
                <w:sz w:val="22"/>
                <w:szCs w:val="22"/>
              </w:rPr>
              <w:t xml:space="preserve">explicitly or </w:t>
            </w:r>
            <w:r w:rsidRPr="00ED58CD">
              <w:rPr>
                <w:sz w:val="22"/>
                <w:szCs w:val="22"/>
              </w:rPr>
              <w:t>inherently share responsibility or administration with the Commission.</w:t>
            </w:r>
            <w:r w:rsidR="00C76CE7">
              <w:rPr>
                <w:sz w:val="22"/>
                <w:szCs w:val="22"/>
              </w:rPr>
              <w:t xml:space="preserve">  Reports of this committee are made public at the discretion of the FCC</w:t>
            </w:r>
            <w:r w:rsidRPr="00B9386D" w:rsidR="00C76CE7">
              <w:rPr>
                <w:sz w:val="22"/>
                <w:szCs w:val="22"/>
              </w:rPr>
              <w:t xml:space="preserve">.  </w:t>
            </w:r>
            <w:r w:rsidRPr="00B9386D" w:rsidR="008512C8">
              <w:rPr>
                <w:sz w:val="22"/>
                <w:szCs w:val="22"/>
              </w:rPr>
              <w:t xml:space="preserve">A list of Committee members, previous </w:t>
            </w:r>
            <w:r w:rsidRPr="00B9386D">
              <w:rPr>
                <w:sz w:val="22"/>
                <w:szCs w:val="22"/>
              </w:rPr>
              <w:t>reports</w:t>
            </w:r>
            <w:r w:rsidRPr="00B9386D" w:rsidR="008512C8">
              <w:rPr>
                <w:sz w:val="22"/>
                <w:szCs w:val="22"/>
              </w:rPr>
              <w:t>,</w:t>
            </w:r>
            <w:r w:rsidRPr="00B9386D">
              <w:rPr>
                <w:sz w:val="22"/>
                <w:szCs w:val="22"/>
              </w:rPr>
              <w:t xml:space="preserve"> and other work of the </w:t>
            </w:r>
            <w:r w:rsidRPr="00B9386D" w:rsidR="00C76CE7">
              <w:rPr>
                <w:sz w:val="22"/>
                <w:szCs w:val="22"/>
              </w:rPr>
              <w:t xml:space="preserve">Committee </w:t>
            </w:r>
            <w:r w:rsidRPr="00B9386D">
              <w:rPr>
                <w:sz w:val="22"/>
                <w:szCs w:val="22"/>
              </w:rPr>
              <w:t xml:space="preserve">can also be found </w:t>
            </w:r>
            <w:r w:rsidRPr="00B9386D" w:rsidR="00C76CE7">
              <w:rPr>
                <w:sz w:val="22"/>
                <w:szCs w:val="22"/>
              </w:rPr>
              <w:t>at:</w:t>
            </w:r>
            <w:r w:rsidRPr="00B9386D">
              <w:rPr>
                <w:sz w:val="22"/>
                <w:szCs w:val="22"/>
              </w:rPr>
              <w:t xml:space="preserve"> </w:t>
            </w:r>
            <w:hyperlink r:id="rId10" w:history="1">
              <w:r w:rsidRPr="00B9386D" w:rsidR="00B9386D">
                <w:rPr>
                  <w:rStyle w:val="Hyperlink"/>
                  <w:sz w:val="22"/>
                  <w:szCs w:val="22"/>
                </w:rPr>
                <w:t>https://go.usa.gov/xVhZK</w:t>
              </w:r>
            </w:hyperlink>
            <w:r w:rsidRPr="00B9386D">
              <w:rPr>
                <w:sz w:val="22"/>
                <w:szCs w:val="22"/>
              </w:rPr>
              <w:t>.</w:t>
            </w:r>
            <w:r w:rsidRPr="00B9386D" w:rsidR="008512C8">
              <w:rPr>
                <w:sz w:val="22"/>
                <w:szCs w:val="22"/>
              </w:rPr>
              <w:t xml:space="preserve">  The Committee recently met for the final meeting of its term.  </w:t>
            </w:r>
            <w:hyperlink r:id="rId11" w:history="1">
              <w:r w:rsidRPr="00713F0C" w:rsidR="008512C8">
                <w:rPr>
                  <w:rStyle w:val="Hyperlink"/>
                  <w:sz w:val="22"/>
                  <w:szCs w:val="22"/>
                </w:rPr>
                <w:t>The agency has begun seeking nominations</w:t>
              </w:r>
            </w:hyperlink>
            <w:r w:rsidR="008512C8">
              <w:rPr>
                <w:sz w:val="22"/>
                <w:szCs w:val="22"/>
              </w:rPr>
              <w:t xml:space="preserve"> of </w:t>
            </w:r>
            <w:r w:rsidRPr="004029E7" w:rsidR="008512C8">
              <w:rPr>
                <w:sz w:val="22"/>
                <w:szCs w:val="22"/>
              </w:rPr>
              <w:t>state, local, Tribal</w:t>
            </w:r>
            <w:r w:rsidR="008512C8">
              <w:rPr>
                <w:sz w:val="22"/>
                <w:szCs w:val="22"/>
              </w:rPr>
              <w:t>,</w:t>
            </w:r>
            <w:r w:rsidRPr="004029E7" w:rsidR="008512C8">
              <w:rPr>
                <w:sz w:val="22"/>
                <w:szCs w:val="22"/>
              </w:rPr>
              <w:t xml:space="preserve"> and territorial</w:t>
            </w:r>
            <w:r w:rsidR="008512C8">
              <w:rPr>
                <w:sz w:val="22"/>
                <w:szCs w:val="22"/>
              </w:rPr>
              <w:t xml:space="preserve"> officials to participate in the next </w:t>
            </w:r>
            <w:r w:rsidRPr="00ED58CD" w:rsidR="008512C8">
              <w:rPr>
                <w:sz w:val="22"/>
                <w:szCs w:val="22"/>
              </w:rPr>
              <w:t>Intergovernmental Advisory Committee</w:t>
            </w:r>
            <w:r w:rsidR="008512C8">
              <w:rPr>
                <w:sz w:val="22"/>
                <w:szCs w:val="22"/>
              </w:rPr>
              <w:t>.</w:t>
            </w:r>
          </w:p>
          <w:p w:rsidR="00BD19E8" w:rsidRPr="00ED58CD" w:rsidP="00DA7B44">
            <w:pPr>
              <w:rPr>
                <w:rStyle w:val="Hyperlink"/>
                <w:color w:val="auto"/>
                <w:sz w:val="22"/>
                <w:szCs w:val="22"/>
                <w:u w:val="none"/>
              </w:rPr>
            </w:pPr>
          </w:p>
          <w:p w:rsidR="004F0F1F" w:rsidRPr="00ED58CD" w:rsidP="00850E26">
            <w:pPr>
              <w:ind w:right="72"/>
              <w:jc w:val="center"/>
              <w:rPr>
                <w:sz w:val="22"/>
                <w:szCs w:val="22"/>
              </w:rPr>
            </w:pPr>
            <w:r w:rsidRPr="00ED58CD">
              <w:rPr>
                <w:sz w:val="22"/>
                <w:szCs w:val="22"/>
              </w:rPr>
              <w:t>###</w:t>
            </w:r>
          </w:p>
          <w:p w:rsidR="006902AB" w:rsidRPr="0080486B" w:rsidP="006902AB">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6902AB" w:rsidRPr="00EE0E90" w:rsidP="006902AB">
            <w:pPr>
              <w:ind w:right="72"/>
              <w:jc w:val="center"/>
              <w:rPr>
                <w:b/>
                <w:bCs/>
                <w:sz w:val="18"/>
                <w:szCs w:val="18"/>
              </w:rPr>
            </w:pPr>
          </w:p>
          <w:p w:rsidR="00EE0E90" w:rsidRPr="00ED58CD" w:rsidP="00850E26">
            <w:pPr>
              <w:ind w:right="72"/>
              <w:jc w:val="center"/>
              <w:rPr>
                <w:bCs/>
                <w:i/>
                <w:sz w:val="22"/>
                <w:szCs w:val="22"/>
              </w:rPr>
            </w:pPr>
            <w:r w:rsidRPr="00EF729B">
              <w:rPr>
                <w:bCs/>
                <w:i/>
                <w:sz w:val="16"/>
                <w:szCs w:val="16"/>
              </w:rPr>
              <w:t>This is an unofficial announcement of Commission action.  Release of the full text of a Commission order constitutes official action.  See MCI v. FC</w:t>
            </w:r>
            <w:r w:rsidRPr="00EF729B">
              <w:rPr>
                <w:bCs/>
                <w:i/>
                <w:sz w:val="16"/>
                <w:szCs w:val="16"/>
              </w:rPr>
              <w:t>C, 515 F.2d 385 (D.C. Cir. 1974).</w:t>
            </w:r>
          </w:p>
        </w:tc>
      </w:tr>
      <w:bookmarkEnd w:id="0"/>
      <w:tr w:rsidTr="006D5D22">
        <w:tblPrEx>
          <w:tblW w:w="0" w:type="auto"/>
          <w:tblLook w:val="0000"/>
        </w:tblPrEx>
        <w:trPr>
          <w:trHeight w:val="2181"/>
        </w:trPr>
        <w:tc>
          <w:tcPr>
            <w:tcW w:w="8856" w:type="dxa"/>
          </w:tcPr>
          <w:p w:rsidR="004C40AB" w:rsidRPr="00ED58CD" w:rsidP="006A7D75">
            <w:pPr>
              <w:jc w:val="center"/>
              <w:rPr>
                <w:b/>
                <w:i/>
                <w:noProof/>
                <w:sz w:val="22"/>
                <w:szCs w:val="22"/>
              </w:rPr>
            </w:pPr>
          </w:p>
        </w:tc>
      </w:tr>
    </w:tbl>
    <w:p w:rsidR="00D24C3D" w:rsidRPr="007528A5">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C5D0D24"/>
    <w:multiLevelType w:val="hybridMultilevel"/>
    <w:tmpl w:val="7BF61AF4"/>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C756FF"/>
    <w:multiLevelType w:val="hybridMultilevel"/>
    <w:tmpl w:val="99F26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89"/>
    <w:rsid w:val="00003509"/>
    <w:rsid w:val="00003847"/>
    <w:rsid w:val="0002500C"/>
    <w:rsid w:val="000311FC"/>
    <w:rsid w:val="00033789"/>
    <w:rsid w:val="00033DE6"/>
    <w:rsid w:val="000357C6"/>
    <w:rsid w:val="000361FD"/>
    <w:rsid w:val="00040127"/>
    <w:rsid w:val="00040293"/>
    <w:rsid w:val="00041AAE"/>
    <w:rsid w:val="00042DB7"/>
    <w:rsid w:val="000503DB"/>
    <w:rsid w:val="00065E2D"/>
    <w:rsid w:val="000700F2"/>
    <w:rsid w:val="00073C47"/>
    <w:rsid w:val="00076674"/>
    <w:rsid w:val="00080A0B"/>
    <w:rsid w:val="00081232"/>
    <w:rsid w:val="00091053"/>
    <w:rsid w:val="00091E65"/>
    <w:rsid w:val="000932CB"/>
    <w:rsid w:val="00096D4A"/>
    <w:rsid w:val="000A1804"/>
    <w:rsid w:val="000A38EA"/>
    <w:rsid w:val="000A5029"/>
    <w:rsid w:val="000C1E47"/>
    <w:rsid w:val="000C26F3"/>
    <w:rsid w:val="000E049E"/>
    <w:rsid w:val="000F7C5D"/>
    <w:rsid w:val="00103B16"/>
    <w:rsid w:val="0010799B"/>
    <w:rsid w:val="001113A9"/>
    <w:rsid w:val="00117DB2"/>
    <w:rsid w:val="00123ED2"/>
    <w:rsid w:val="00125BE0"/>
    <w:rsid w:val="001324F7"/>
    <w:rsid w:val="00142C13"/>
    <w:rsid w:val="001479E4"/>
    <w:rsid w:val="00152776"/>
    <w:rsid w:val="00153222"/>
    <w:rsid w:val="001577D3"/>
    <w:rsid w:val="00157DA8"/>
    <w:rsid w:val="001654CC"/>
    <w:rsid w:val="001733A6"/>
    <w:rsid w:val="00177D52"/>
    <w:rsid w:val="001865A9"/>
    <w:rsid w:val="00187DB2"/>
    <w:rsid w:val="00196273"/>
    <w:rsid w:val="001A4D8C"/>
    <w:rsid w:val="001B20BB"/>
    <w:rsid w:val="001B3CE8"/>
    <w:rsid w:val="001C0634"/>
    <w:rsid w:val="001C4370"/>
    <w:rsid w:val="001C79B8"/>
    <w:rsid w:val="001D3779"/>
    <w:rsid w:val="001F0469"/>
    <w:rsid w:val="00203A98"/>
    <w:rsid w:val="00206EDD"/>
    <w:rsid w:val="0021247E"/>
    <w:rsid w:val="002146F6"/>
    <w:rsid w:val="00226594"/>
    <w:rsid w:val="00231C32"/>
    <w:rsid w:val="00240345"/>
    <w:rsid w:val="002421F0"/>
    <w:rsid w:val="00247274"/>
    <w:rsid w:val="00263ECE"/>
    <w:rsid w:val="00266505"/>
    <w:rsid w:val="00266966"/>
    <w:rsid w:val="00274751"/>
    <w:rsid w:val="00282A80"/>
    <w:rsid w:val="00285C36"/>
    <w:rsid w:val="00294C0C"/>
    <w:rsid w:val="002A0934"/>
    <w:rsid w:val="002B0FC7"/>
    <w:rsid w:val="002B1013"/>
    <w:rsid w:val="002B22A4"/>
    <w:rsid w:val="002C2A81"/>
    <w:rsid w:val="002D03E5"/>
    <w:rsid w:val="002E0208"/>
    <w:rsid w:val="002E3F1D"/>
    <w:rsid w:val="002E6D15"/>
    <w:rsid w:val="002F31D0"/>
    <w:rsid w:val="00300359"/>
    <w:rsid w:val="0031773E"/>
    <w:rsid w:val="00327D0F"/>
    <w:rsid w:val="00331F41"/>
    <w:rsid w:val="00333871"/>
    <w:rsid w:val="00336C8C"/>
    <w:rsid w:val="00347716"/>
    <w:rsid w:val="003506E1"/>
    <w:rsid w:val="0035475A"/>
    <w:rsid w:val="00361382"/>
    <w:rsid w:val="003727E3"/>
    <w:rsid w:val="0037343B"/>
    <w:rsid w:val="003823BC"/>
    <w:rsid w:val="00385A93"/>
    <w:rsid w:val="003910F1"/>
    <w:rsid w:val="003B5A7A"/>
    <w:rsid w:val="003E42FC"/>
    <w:rsid w:val="003E5991"/>
    <w:rsid w:val="003F344A"/>
    <w:rsid w:val="004029E7"/>
    <w:rsid w:val="00403FF0"/>
    <w:rsid w:val="00413A54"/>
    <w:rsid w:val="0041442A"/>
    <w:rsid w:val="0042046D"/>
    <w:rsid w:val="0042116E"/>
    <w:rsid w:val="00425AEF"/>
    <w:rsid w:val="00426518"/>
    <w:rsid w:val="00427B06"/>
    <w:rsid w:val="00440C2B"/>
    <w:rsid w:val="00441F59"/>
    <w:rsid w:val="00444E07"/>
    <w:rsid w:val="00444FA9"/>
    <w:rsid w:val="00465F27"/>
    <w:rsid w:val="0047362F"/>
    <w:rsid w:val="00473E9C"/>
    <w:rsid w:val="00475E30"/>
    <w:rsid w:val="00480099"/>
    <w:rsid w:val="004806F1"/>
    <w:rsid w:val="004941A2"/>
    <w:rsid w:val="00497858"/>
    <w:rsid w:val="004A1619"/>
    <w:rsid w:val="004A729A"/>
    <w:rsid w:val="004B4FEA"/>
    <w:rsid w:val="004B7B1E"/>
    <w:rsid w:val="004C0ADA"/>
    <w:rsid w:val="004C1F84"/>
    <w:rsid w:val="004C40AB"/>
    <w:rsid w:val="004C433E"/>
    <w:rsid w:val="004C4512"/>
    <w:rsid w:val="004C4F36"/>
    <w:rsid w:val="004D04EC"/>
    <w:rsid w:val="004D3D85"/>
    <w:rsid w:val="004E2BD8"/>
    <w:rsid w:val="004E389E"/>
    <w:rsid w:val="004F0C79"/>
    <w:rsid w:val="004F0F1F"/>
    <w:rsid w:val="00501FA0"/>
    <w:rsid w:val="005022AA"/>
    <w:rsid w:val="00504693"/>
    <w:rsid w:val="00504845"/>
    <w:rsid w:val="0050493D"/>
    <w:rsid w:val="0050757F"/>
    <w:rsid w:val="00516AD2"/>
    <w:rsid w:val="00545DAE"/>
    <w:rsid w:val="00567BC0"/>
    <w:rsid w:val="00571B83"/>
    <w:rsid w:val="00575A00"/>
    <w:rsid w:val="0058673C"/>
    <w:rsid w:val="005921FA"/>
    <w:rsid w:val="005A124A"/>
    <w:rsid w:val="005A7972"/>
    <w:rsid w:val="005B17E7"/>
    <w:rsid w:val="005B2643"/>
    <w:rsid w:val="005C6FF9"/>
    <w:rsid w:val="005D17FD"/>
    <w:rsid w:val="005D6EA8"/>
    <w:rsid w:val="005F0D55"/>
    <w:rsid w:val="005F183E"/>
    <w:rsid w:val="00600DDA"/>
    <w:rsid w:val="00604211"/>
    <w:rsid w:val="00613498"/>
    <w:rsid w:val="00615489"/>
    <w:rsid w:val="00617B94"/>
    <w:rsid w:val="00620BED"/>
    <w:rsid w:val="006415B4"/>
    <w:rsid w:val="00644E3D"/>
    <w:rsid w:val="00651B9E"/>
    <w:rsid w:val="00652019"/>
    <w:rsid w:val="00657EC9"/>
    <w:rsid w:val="006650FD"/>
    <w:rsid w:val="00665633"/>
    <w:rsid w:val="00674C86"/>
    <w:rsid w:val="0067644B"/>
    <w:rsid w:val="00676759"/>
    <w:rsid w:val="0068015E"/>
    <w:rsid w:val="0068089C"/>
    <w:rsid w:val="00683B77"/>
    <w:rsid w:val="006861AB"/>
    <w:rsid w:val="00686B89"/>
    <w:rsid w:val="006902AB"/>
    <w:rsid w:val="0069420F"/>
    <w:rsid w:val="006A11D9"/>
    <w:rsid w:val="006A2C61"/>
    <w:rsid w:val="006A2FC5"/>
    <w:rsid w:val="006A7D75"/>
    <w:rsid w:val="006B0A70"/>
    <w:rsid w:val="006B606A"/>
    <w:rsid w:val="006C33AF"/>
    <w:rsid w:val="006D1489"/>
    <w:rsid w:val="006D5D22"/>
    <w:rsid w:val="006E0324"/>
    <w:rsid w:val="006E4A76"/>
    <w:rsid w:val="006F1DBD"/>
    <w:rsid w:val="00700556"/>
    <w:rsid w:val="0070589A"/>
    <w:rsid w:val="007129DD"/>
    <w:rsid w:val="00713C37"/>
    <w:rsid w:val="00713F0C"/>
    <w:rsid w:val="007167DD"/>
    <w:rsid w:val="0072478B"/>
    <w:rsid w:val="00726F70"/>
    <w:rsid w:val="00732034"/>
    <w:rsid w:val="0073414D"/>
    <w:rsid w:val="00742086"/>
    <w:rsid w:val="00742385"/>
    <w:rsid w:val="00744C23"/>
    <w:rsid w:val="007475A1"/>
    <w:rsid w:val="0075235E"/>
    <w:rsid w:val="007528A5"/>
    <w:rsid w:val="00761DD7"/>
    <w:rsid w:val="007732CC"/>
    <w:rsid w:val="00774079"/>
    <w:rsid w:val="007774D8"/>
    <w:rsid w:val="0077752B"/>
    <w:rsid w:val="00780063"/>
    <w:rsid w:val="00784435"/>
    <w:rsid w:val="00793D6F"/>
    <w:rsid w:val="00794090"/>
    <w:rsid w:val="007A1111"/>
    <w:rsid w:val="007A44F8"/>
    <w:rsid w:val="007D0953"/>
    <w:rsid w:val="007D21BF"/>
    <w:rsid w:val="007F3C12"/>
    <w:rsid w:val="007F5205"/>
    <w:rsid w:val="0080486B"/>
    <w:rsid w:val="008215E7"/>
    <w:rsid w:val="0083031D"/>
    <w:rsid w:val="00830FC6"/>
    <w:rsid w:val="00845193"/>
    <w:rsid w:val="00850E26"/>
    <w:rsid w:val="008512C8"/>
    <w:rsid w:val="0086083F"/>
    <w:rsid w:val="00865EAA"/>
    <w:rsid w:val="00866F06"/>
    <w:rsid w:val="008728F5"/>
    <w:rsid w:val="00877487"/>
    <w:rsid w:val="008824C2"/>
    <w:rsid w:val="00882F2F"/>
    <w:rsid w:val="008960E4"/>
    <w:rsid w:val="008A3940"/>
    <w:rsid w:val="008A694D"/>
    <w:rsid w:val="008B13C9"/>
    <w:rsid w:val="008C0082"/>
    <w:rsid w:val="008C1AFD"/>
    <w:rsid w:val="008C248C"/>
    <w:rsid w:val="008C5432"/>
    <w:rsid w:val="008C7BF1"/>
    <w:rsid w:val="008D00D6"/>
    <w:rsid w:val="008D355D"/>
    <w:rsid w:val="008D3A94"/>
    <w:rsid w:val="008D4ABA"/>
    <w:rsid w:val="008D4D00"/>
    <w:rsid w:val="008D4E5E"/>
    <w:rsid w:val="008D7ABD"/>
    <w:rsid w:val="008E55A2"/>
    <w:rsid w:val="008F1609"/>
    <w:rsid w:val="008F2051"/>
    <w:rsid w:val="008F78D8"/>
    <w:rsid w:val="00914C13"/>
    <w:rsid w:val="0093261A"/>
    <w:rsid w:val="0093373C"/>
    <w:rsid w:val="009413DE"/>
    <w:rsid w:val="00956D33"/>
    <w:rsid w:val="00961620"/>
    <w:rsid w:val="00966286"/>
    <w:rsid w:val="00967F31"/>
    <w:rsid w:val="009734B6"/>
    <w:rsid w:val="0098096F"/>
    <w:rsid w:val="00981E7D"/>
    <w:rsid w:val="0098437A"/>
    <w:rsid w:val="00986C92"/>
    <w:rsid w:val="00986F13"/>
    <w:rsid w:val="00992625"/>
    <w:rsid w:val="00993C47"/>
    <w:rsid w:val="00996F07"/>
    <w:rsid w:val="009972BC"/>
    <w:rsid w:val="009A4FC8"/>
    <w:rsid w:val="009A6057"/>
    <w:rsid w:val="009B2CED"/>
    <w:rsid w:val="009B4B16"/>
    <w:rsid w:val="009C6284"/>
    <w:rsid w:val="009C78BD"/>
    <w:rsid w:val="009E54A1"/>
    <w:rsid w:val="009F4E25"/>
    <w:rsid w:val="009F5B1F"/>
    <w:rsid w:val="00A12EA1"/>
    <w:rsid w:val="00A2148D"/>
    <w:rsid w:val="00A225A9"/>
    <w:rsid w:val="00A278BC"/>
    <w:rsid w:val="00A3308E"/>
    <w:rsid w:val="00A35DFD"/>
    <w:rsid w:val="00A42C0C"/>
    <w:rsid w:val="00A702DF"/>
    <w:rsid w:val="00A7034E"/>
    <w:rsid w:val="00A775A3"/>
    <w:rsid w:val="00A81700"/>
    <w:rsid w:val="00A81B5B"/>
    <w:rsid w:val="00A82FAD"/>
    <w:rsid w:val="00A931F3"/>
    <w:rsid w:val="00A9673A"/>
    <w:rsid w:val="00A96EF2"/>
    <w:rsid w:val="00AA0B49"/>
    <w:rsid w:val="00AA26F4"/>
    <w:rsid w:val="00AA5C35"/>
    <w:rsid w:val="00AA5ED9"/>
    <w:rsid w:val="00AB4EBB"/>
    <w:rsid w:val="00AC0A38"/>
    <w:rsid w:val="00AC4E0E"/>
    <w:rsid w:val="00AC517B"/>
    <w:rsid w:val="00AD0D19"/>
    <w:rsid w:val="00AD190B"/>
    <w:rsid w:val="00AE1C29"/>
    <w:rsid w:val="00AE3A18"/>
    <w:rsid w:val="00AF051B"/>
    <w:rsid w:val="00AF2C70"/>
    <w:rsid w:val="00B037A2"/>
    <w:rsid w:val="00B05FC4"/>
    <w:rsid w:val="00B1240B"/>
    <w:rsid w:val="00B237D2"/>
    <w:rsid w:val="00B24703"/>
    <w:rsid w:val="00B31870"/>
    <w:rsid w:val="00B320B8"/>
    <w:rsid w:val="00B35EE2"/>
    <w:rsid w:val="00B36DEF"/>
    <w:rsid w:val="00B37FE7"/>
    <w:rsid w:val="00B42B7A"/>
    <w:rsid w:val="00B57131"/>
    <w:rsid w:val="00B603BB"/>
    <w:rsid w:val="00B62F2C"/>
    <w:rsid w:val="00B63AC0"/>
    <w:rsid w:val="00B66633"/>
    <w:rsid w:val="00B727C9"/>
    <w:rsid w:val="00B72DC8"/>
    <w:rsid w:val="00B7328C"/>
    <w:rsid w:val="00B735C8"/>
    <w:rsid w:val="00B76A63"/>
    <w:rsid w:val="00B9386D"/>
    <w:rsid w:val="00BA6350"/>
    <w:rsid w:val="00BB4E29"/>
    <w:rsid w:val="00BB74C9"/>
    <w:rsid w:val="00BB7D0A"/>
    <w:rsid w:val="00BC156A"/>
    <w:rsid w:val="00BC3AB6"/>
    <w:rsid w:val="00BD19E8"/>
    <w:rsid w:val="00BD4273"/>
    <w:rsid w:val="00C04EF3"/>
    <w:rsid w:val="00C309D1"/>
    <w:rsid w:val="00C31ED8"/>
    <w:rsid w:val="00C432E4"/>
    <w:rsid w:val="00C47169"/>
    <w:rsid w:val="00C557FE"/>
    <w:rsid w:val="00C63F83"/>
    <w:rsid w:val="00C6537F"/>
    <w:rsid w:val="00C70C26"/>
    <w:rsid w:val="00C72001"/>
    <w:rsid w:val="00C76CE7"/>
    <w:rsid w:val="00C772B7"/>
    <w:rsid w:val="00C80347"/>
    <w:rsid w:val="00C976B2"/>
    <w:rsid w:val="00CA2861"/>
    <w:rsid w:val="00CB7038"/>
    <w:rsid w:val="00CB7C1A"/>
    <w:rsid w:val="00CC5E08"/>
    <w:rsid w:val="00CD2739"/>
    <w:rsid w:val="00CE14FD"/>
    <w:rsid w:val="00CE4626"/>
    <w:rsid w:val="00CE6462"/>
    <w:rsid w:val="00CF6860"/>
    <w:rsid w:val="00D02AC6"/>
    <w:rsid w:val="00D03F0C"/>
    <w:rsid w:val="00D04312"/>
    <w:rsid w:val="00D14AFA"/>
    <w:rsid w:val="00D16A7F"/>
    <w:rsid w:val="00D16AD2"/>
    <w:rsid w:val="00D22596"/>
    <w:rsid w:val="00D22691"/>
    <w:rsid w:val="00D24C3D"/>
    <w:rsid w:val="00D25168"/>
    <w:rsid w:val="00D44252"/>
    <w:rsid w:val="00D46CB1"/>
    <w:rsid w:val="00D723F0"/>
    <w:rsid w:val="00D73795"/>
    <w:rsid w:val="00D8133F"/>
    <w:rsid w:val="00D861EE"/>
    <w:rsid w:val="00D95B05"/>
    <w:rsid w:val="00D97E2D"/>
    <w:rsid w:val="00DA103D"/>
    <w:rsid w:val="00DA1BD6"/>
    <w:rsid w:val="00DA45D3"/>
    <w:rsid w:val="00DA4772"/>
    <w:rsid w:val="00DA7B44"/>
    <w:rsid w:val="00DB2667"/>
    <w:rsid w:val="00DB67B7"/>
    <w:rsid w:val="00DC15A9"/>
    <w:rsid w:val="00DC40AA"/>
    <w:rsid w:val="00DC501F"/>
    <w:rsid w:val="00DD1750"/>
    <w:rsid w:val="00E349AA"/>
    <w:rsid w:val="00E36778"/>
    <w:rsid w:val="00E41390"/>
    <w:rsid w:val="00E41CA0"/>
    <w:rsid w:val="00E4366B"/>
    <w:rsid w:val="00E43AA9"/>
    <w:rsid w:val="00E50A4A"/>
    <w:rsid w:val="00E55416"/>
    <w:rsid w:val="00E606DE"/>
    <w:rsid w:val="00E644FE"/>
    <w:rsid w:val="00E72733"/>
    <w:rsid w:val="00E742FA"/>
    <w:rsid w:val="00E750FB"/>
    <w:rsid w:val="00E76816"/>
    <w:rsid w:val="00E83DBF"/>
    <w:rsid w:val="00E85D5E"/>
    <w:rsid w:val="00E87C13"/>
    <w:rsid w:val="00E94CD9"/>
    <w:rsid w:val="00E96971"/>
    <w:rsid w:val="00EA1A76"/>
    <w:rsid w:val="00EA290B"/>
    <w:rsid w:val="00EA2CA6"/>
    <w:rsid w:val="00EC63B7"/>
    <w:rsid w:val="00ED58CD"/>
    <w:rsid w:val="00EE0E90"/>
    <w:rsid w:val="00EF39D3"/>
    <w:rsid w:val="00EF3BCA"/>
    <w:rsid w:val="00EF729B"/>
    <w:rsid w:val="00F01B0D"/>
    <w:rsid w:val="00F03EC9"/>
    <w:rsid w:val="00F1238F"/>
    <w:rsid w:val="00F16485"/>
    <w:rsid w:val="00F228ED"/>
    <w:rsid w:val="00F26E31"/>
    <w:rsid w:val="00F27C6C"/>
    <w:rsid w:val="00F300D4"/>
    <w:rsid w:val="00F34A8D"/>
    <w:rsid w:val="00F5096F"/>
    <w:rsid w:val="00F50D25"/>
    <w:rsid w:val="00F535D8"/>
    <w:rsid w:val="00F61155"/>
    <w:rsid w:val="00F708E3"/>
    <w:rsid w:val="00F76561"/>
    <w:rsid w:val="00F8356A"/>
    <w:rsid w:val="00F84736"/>
    <w:rsid w:val="00F851AB"/>
    <w:rsid w:val="00FC071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3E9FA83-CDEE-4495-A4EB-F3FD261E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726F70"/>
    <w:rPr>
      <w:rFonts w:ascii="Segoe UI" w:hAnsi="Segoe UI" w:cs="Segoe UI"/>
      <w:sz w:val="18"/>
      <w:szCs w:val="18"/>
    </w:rPr>
  </w:style>
  <w:style w:type="character" w:customStyle="1" w:styleId="BalloonTextChar">
    <w:name w:val="Balloon Text Char"/>
    <w:basedOn w:val="DefaultParagraphFont"/>
    <w:link w:val="BalloonText"/>
    <w:semiHidden/>
    <w:rsid w:val="00726F70"/>
    <w:rPr>
      <w:rFonts w:ascii="Segoe UI" w:hAnsi="Segoe UI" w:cs="Segoe UI"/>
      <w:sz w:val="18"/>
      <w:szCs w:val="18"/>
    </w:rPr>
  </w:style>
  <w:style w:type="character" w:styleId="CommentReference">
    <w:name w:val="annotation reference"/>
    <w:basedOn w:val="DefaultParagraphFont"/>
    <w:semiHidden/>
    <w:unhideWhenUsed/>
    <w:rsid w:val="00B63AC0"/>
    <w:rPr>
      <w:sz w:val="16"/>
      <w:szCs w:val="16"/>
    </w:rPr>
  </w:style>
  <w:style w:type="paragraph" w:styleId="CommentText">
    <w:name w:val="annotation text"/>
    <w:basedOn w:val="Normal"/>
    <w:link w:val="CommentTextChar"/>
    <w:semiHidden/>
    <w:unhideWhenUsed/>
    <w:rsid w:val="00B63AC0"/>
    <w:rPr>
      <w:sz w:val="20"/>
      <w:szCs w:val="20"/>
    </w:rPr>
  </w:style>
  <w:style w:type="character" w:customStyle="1" w:styleId="CommentTextChar">
    <w:name w:val="Comment Text Char"/>
    <w:basedOn w:val="DefaultParagraphFont"/>
    <w:link w:val="CommentText"/>
    <w:semiHidden/>
    <w:rsid w:val="00B63AC0"/>
  </w:style>
  <w:style w:type="paragraph" w:styleId="CommentSubject">
    <w:name w:val="annotation subject"/>
    <w:basedOn w:val="CommentText"/>
    <w:next w:val="CommentText"/>
    <w:link w:val="CommentSubjectChar"/>
    <w:semiHidden/>
    <w:unhideWhenUsed/>
    <w:rsid w:val="00B63AC0"/>
    <w:rPr>
      <w:b/>
      <w:bCs/>
    </w:rPr>
  </w:style>
  <w:style w:type="character" w:customStyle="1" w:styleId="CommentSubjectChar">
    <w:name w:val="Comment Subject Char"/>
    <w:basedOn w:val="CommentTextChar"/>
    <w:link w:val="CommentSubject"/>
    <w:semiHidden/>
    <w:rsid w:val="00B63AC0"/>
    <w:rPr>
      <w:b/>
      <w:bCs/>
    </w:rPr>
  </w:style>
  <w:style w:type="paragraph" w:styleId="Revision">
    <w:name w:val="Revision"/>
    <w:hidden/>
    <w:uiPriority w:val="99"/>
    <w:semiHidden/>
    <w:rsid w:val="00AB4EBB"/>
    <w:rPr>
      <w:sz w:val="24"/>
      <w:szCs w:val="24"/>
    </w:rPr>
  </w:style>
  <w:style w:type="character" w:styleId="FootnoteReference">
    <w:name w:val="footnote reference"/>
    <w:aliases w:val="(NECG) Footnote Reference,Appel note de bas de p,FR,Footnote Reference/,Style 12,Style 124,Style 13,Style 17,Style 3,Style 6,fr,o"/>
    <w:semiHidden/>
    <w:rsid w:val="000503DB"/>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basedOn w:val="Normal"/>
    <w:link w:val="FootnoteTextChar3"/>
    <w:uiPriority w:val="99"/>
    <w:semiHidden/>
    <w:rsid w:val="000503DB"/>
    <w:pPr>
      <w:tabs>
        <w:tab w:val="left" w:pos="720"/>
      </w:tabs>
      <w:spacing w:after="200"/>
    </w:pPr>
    <w:rPr>
      <w:sz w:val="22"/>
      <w:szCs w:val="20"/>
    </w:rPr>
  </w:style>
  <w:style w:type="character" w:customStyle="1" w:styleId="FootnoteTextChar">
    <w:name w:val="Footnote Text Char"/>
    <w:basedOn w:val="DefaultParagraphFont"/>
    <w:semiHidden/>
    <w:rsid w:val="000503DB"/>
  </w:style>
  <w:style w:type="character" w:customStyle="1" w:styleId="FootnoteTextChar3">
    <w:name w:val="Footnote Text Char3"/>
    <w:aliases w:val="ALTS FOOTNOTE Char Char,ALTS FOOTNOTE Char1,Footnote Text Char Char Char,Footnote Text Char1 Char,Footnote Text Char1 Char Char Char Char,Footnote Text Char1 Char Char Char1,Footnote Text Char1 Char1 Char,Footnote Text Char2 Char"/>
    <w:link w:val="FootnoteText"/>
    <w:uiPriority w:val="99"/>
    <w:semiHidden/>
    <w:locked/>
    <w:rsid w:val="000503DB"/>
    <w:rPr>
      <w:sz w:val="22"/>
    </w:rPr>
  </w:style>
  <w:style w:type="character" w:customStyle="1" w:styleId="UnresolvedMention2">
    <w:name w:val="Unresolved Mention2"/>
    <w:basedOn w:val="DefaultParagraphFont"/>
    <w:rsid w:val="00ED58CD"/>
    <w:rPr>
      <w:color w:val="605E5C"/>
      <w:shd w:val="clear" w:color="auto" w:fill="E1DFDD"/>
    </w:rPr>
  </w:style>
  <w:style w:type="character" w:customStyle="1" w:styleId="UnresolvedMention">
    <w:name w:val="Unresolved Mention"/>
    <w:basedOn w:val="DefaultParagraphFont"/>
    <w:rsid w:val="0067644B"/>
    <w:rPr>
      <w:color w:val="605E5C"/>
      <w:shd w:val="clear" w:color="auto" w:fill="E1DFDD"/>
    </w:rPr>
  </w:style>
  <w:style w:type="paragraph" w:styleId="ListParagraph">
    <w:name w:val="List Paragraph"/>
    <w:basedOn w:val="Normal"/>
    <w:uiPriority w:val="34"/>
    <w:qFormat/>
    <w:rsid w:val="0067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o.usa.gov/xVhZK" TargetMode="External" /><Relationship Id="rId11" Type="http://schemas.openxmlformats.org/officeDocument/2006/relationships/hyperlink" Target="https://www.fcc.gov/document/fcc-seeks-nominations-intergovernmental-advisory-committee"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0696A3.pdf" TargetMode="External" /><Relationship Id="rId6" Type="http://schemas.openxmlformats.org/officeDocument/2006/relationships/hyperlink" Target="https://docs.fcc.gov/public/attachments/DOC-360696A2.pdf" TargetMode="External" /><Relationship Id="rId7" Type="http://schemas.openxmlformats.org/officeDocument/2006/relationships/hyperlink" Target="https://docs.fcc.gov/public/attachments/DOC-360696A4.pdf" TargetMode="External" /><Relationship Id="rId8" Type="http://schemas.openxmlformats.org/officeDocument/2006/relationships/hyperlink" Target="https://docs.fcc.gov/public/attachments/DOC-360696A5.pdf" TargetMode="External" /><Relationship Id="rId9" Type="http://schemas.openxmlformats.org/officeDocument/2006/relationships/hyperlink" Target="https://www.fcc.gov/about-fcc/advisory-committees/general/intergovernmental-advisory-committ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