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B5E0B">
      <w:pPr>
        <w:tabs>
          <w:tab w:val="center" w:pos="4770"/>
        </w:tabs>
        <w:jc w:val="center"/>
        <w:rPr>
          <w:b/>
          <w:sz w:val="22"/>
          <w:szCs w:val="22"/>
        </w:rPr>
      </w:pPr>
      <w:r>
        <w:rPr>
          <w:b/>
          <w:sz w:val="22"/>
          <w:szCs w:val="22"/>
        </w:rPr>
        <w:t>Before the</w:t>
      </w:r>
    </w:p>
    <w:p w:rsidR="00DB5E0B">
      <w:pPr>
        <w:pStyle w:val="Heading2"/>
        <w:widowControl/>
      </w:pPr>
      <w:r>
        <w:t>Federal Communications Commission</w:t>
      </w:r>
    </w:p>
    <w:p w:rsidR="00DB5E0B">
      <w:pPr>
        <w:pStyle w:val="Heading2"/>
        <w:widowControl/>
      </w:pPr>
      <w:r>
        <w:t>Washington, D.C. 20554</w:t>
      </w:r>
    </w:p>
    <w:p w:rsidR="00DB5E0B">
      <w:pPr>
        <w:tabs>
          <w:tab w:val="left" w:pos="4680"/>
        </w:tabs>
        <w:jc w:val="center"/>
        <w:rPr>
          <w:sz w:val="22"/>
          <w:szCs w:val="22"/>
        </w:rPr>
      </w:pPr>
    </w:p>
    <w:p w:rsidR="00DB5E0B" w:rsidP="00A0431C">
      <w:pPr>
        <w:widowControl w:val="0"/>
        <w:pBdr>
          <w:top w:val="nil"/>
          <w:left w:val="nil"/>
          <w:bottom w:val="nil"/>
          <w:right w:val="nil"/>
          <w:between w:val="nil"/>
        </w:pBdr>
        <w:tabs>
          <w:tab w:val="left" w:pos="4680"/>
        </w:tabs>
        <w:jc w:val="both"/>
        <w:rPr>
          <w:color w:val="000000"/>
          <w:sz w:val="22"/>
          <w:szCs w:val="22"/>
        </w:rPr>
      </w:pPr>
    </w:p>
    <w:p w:rsidR="00DB5E0B" w:rsidP="00A0431C">
      <w:pPr>
        <w:widowControl w:val="0"/>
        <w:pBdr>
          <w:top w:val="nil"/>
          <w:left w:val="nil"/>
          <w:bottom w:val="nil"/>
          <w:right w:val="nil"/>
          <w:between w:val="nil"/>
        </w:pBdr>
        <w:tabs>
          <w:tab w:val="left" w:pos="4680"/>
          <w:tab w:val="left" w:pos="5760"/>
        </w:tabs>
        <w:rPr>
          <w:color w:val="000000"/>
          <w:sz w:val="22"/>
          <w:szCs w:val="22"/>
        </w:rPr>
      </w:pPr>
      <w:r>
        <w:rPr>
          <w:color w:val="000000"/>
          <w:sz w:val="22"/>
          <w:szCs w:val="22"/>
        </w:rPr>
        <w:t>In the Matter of</w:t>
      </w:r>
      <w:r>
        <w:rPr>
          <w:color w:val="000000"/>
          <w:sz w:val="22"/>
          <w:szCs w:val="22"/>
        </w:rPr>
        <w:tab/>
        <w:t>)</w:t>
      </w:r>
    </w:p>
    <w:p w:rsidR="00394F96">
      <w:pPr>
        <w:tabs>
          <w:tab w:val="left" w:pos="4680"/>
          <w:tab w:val="left" w:pos="5760"/>
        </w:tabs>
        <w:rPr>
          <w:sz w:val="22"/>
          <w:szCs w:val="22"/>
        </w:rPr>
      </w:pPr>
      <w:r>
        <w:rPr>
          <w:sz w:val="22"/>
          <w:szCs w:val="22"/>
        </w:rPr>
        <w:tab/>
        <w:t>)</w:t>
      </w:r>
    </w:p>
    <w:p w:rsidR="00DB5E0B">
      <w:pPr>
        <w:tabs>
          <w:tab w:val="left" w:pos="4680"/>
          <w:tab w:val="left" w:pos="5760"/>
        </w:tabs>
        <w:rPr>
          <w:sz w:val="22"/>
          <w:szCs w:val="22"/>
        </w:rPr>
      </w:pPr>
      <w:r>
        <w:rPr>
          <w:sz w:val="22"/>
          <w:szCs w:val="22"/>
        </w:rPr>
        <w:t>Vernon R. Baldwin, I</w:t>
      </w:r>
      <w:r w:rsidR="00D63900">
        <w:rPr>
          <w:sz w:val="22"/>
          <w:szCs w:val="22"/>
        </w:rPr>
        <w:t>nc</w:t>
      </w:r>
      <w:r>
        <w:rPr>
          <w:sz w:val="22"/>
          <w:szCs w:val="22"/>
        </w:rPr>
        <w:t>.</w:t>
      </w:r>
      <w:r w:rsidR="00637A21">
        <w:rPr>
          <w:sz w:val="22"/>
          <w:szCs w:val="22"/>
        </w:rPr>
        <w:tab/>
        <w:t>)</w:t>
      </w:r>
    </w:p>
    <w:p w:rsidR="00394F96">
      <w:pPr>
        <w:tabs>
          <w:tab w:val="left" w:pos="4680"/>
          <w:tab w:val="left" w:pos="5400"/>
        </w:tabs>
        <w:jc w:val="both"/>
        <w:rPr>
          <w:sz w:val="22"/>
          <w:szCs w:val="22"/>
        </w:rPr>
      </w:pPr>
      <w:r>
        <w:rPr>
          <w:sz w:val="22"/>
          <w:szCs w:val="22"/>
        </w:rPr>
        <w:tab/>
        <w:t>)</w:t>
      </w:r>
    </w:p>
    <w:p w:rsidR="00DB5E0B">
      <w:pPr>
        <w:tabs>
          <w:tab w:val="left" w:pos="4680"/>
          <w:tab w:val="left" w:pos="5400"/>
        </w:tabs>
        <w:jc w:val="both"/>
        <w:rPr>
          <w:rFonts w:ascii="Courier New" w:eastAsia="Courier New" w:hAnsi="Courier New" w:cs="Courier New"/>
          <w:b/>
          <w:sz w:val="22"/>
          <w:szCs w:val="22"/>
        </w:rPr>
      </w:pPr>
      <w:r>
        <w:rPr>
          <w:sz w:val="22"/>
          <w:szCs w:val="22"/>
        </w:rPr>
        <w:t xml:space="preserve">Licensee of Station </w:t>
      </w:r>
      <w:r w:rsidR="008D1E5E">
        <w:rPr>
          <w:sz w:val="22"/>
          <w:szCs w:val="22"/>
        </w:rPr>
        <w:t>WMOH</w:t>
      </w:r>
      <w:r w:rsidR="00637A21">
        <w:rPr>
          <w:sz w:val="22"/>
          <w:szCs w:val="22"/>
        </w:rPr>
        <w:tab/>
        <w:t>)</w:t>
      </w:r>
      <w:r w:rsidRPr="00394F96">
        <w:rPr>
          <w:sz w:val="22"/>
          <w:szCs w:val="22"/>
        </w:rPr>
        <w:t xml:space="preserve"> </w:t>
      </w:r>
      <w:r>
        <w:rPr>
          <w:sz w:val="22"/>
          <w:szCs w:val="22"/>
        </w:rPr>
        <w:tab/>
      </w:r>
      <w:r w:rsidRPr="008D1E5E" w:rsidR="008D1E5E">
        <w:rPr>
          <w:sz w:val="22"/>
          <w:szCs w:val="22"/>
        </w:rPr>
        <w:t>File No.:  EB-FIELDNER-19-00029715</w:t>
      </w:r>
    </w:p>
    <w:p w:rsidR="00DB5E0B">
      <w:pPr>
        <w:tabs>
          <w:tab w:val="left" w:pos="4680"/>
          <w:tab w:val="left" w:pos="5400"/>
        </w:tabs>
        <w:jc w:val="both"/>
        <w:rPr>
          <w:sz w:val="22"/>
          <w:szCs w:val="22"/>
        </w:rPr>
      </w:pPr>
      <w:r>
        <w:rPr>
          <w:color w:val="000000"/>
          <w:sz w:val="22"/>
          <w:szCs w:val="22"/>
        </w:rPr>
        <w:t>Facility ID:</w:t>
      </w:r>
      <w:r>
        <w:rPr>
          <w:rFonts w:ascii="Arial" w:eastAsia="Arial" w:hAnsi="Arial" w:cs="Arial"/>
          <w:sz w:val="22"/>
          <w:szCs w:val="22"/>
          <w:highlight w:val="white"/>
        </w:rPr>
        <w:t xml:space="preserve"> </w:t>
      </w:r>
      <w:r w:rsidR="008D1E5E">
        <w:rPr>
          <w:rFonts w:eastAsia="Arial" w:cs="Arial"/>
          <w:sz w:val="22"/>
          <w:szCs w:val="22"/>
        </w:rPr>
        <w:t>65955</w:t>
      </w:r>
      <w:r w:rsidR="00637A21">
        <w:rPr>
          <w:sz w:val="22"/>
          <w:szCs w:val="22"/>
        </w:rPr>
        <w:tab/>
        <w:t>)</w:t>
      </w:r>
      <w:r w:rsidR="00637A21">
        <w:rPr>
          <w:sz w:val="22"/>
          <w:szCs w:val="22"/>
        </w:rPr>
        <w:tab/>
      </w:r>
    </w:p>
    <w:p w:rsidR="00DB5E0B">
      <w:pPr>
        <w:widowControl w:val="0"/>
        <w:pBdr>
          <w:top w:val="nil"/>
          <w:left w:val="nil"/>
          <w:bottom w:val="nil"/>
          <w:right w:val="nil"/>
          <w:between w:val="nil"/>
        </w:pBdr>
        <w:tabs>
          <w:tab w:val="left" w:pos="4680"/>
          <w:tab w:val="left" w:pos="6120"/>
        </w:tabs>
        <w:jc w:val="both"/>
        <w:rPr>
          <w:color w:val="000000"/>
          <w:sz w:val="22"/>
          <w:szCs w:val="22"/>
        </w:rPr>
      </w:pPr>
      <w:r>
        <w:rPr>
          <w:color w:val="000000"/>
          <w:sz w:val="22"/>
          <w:szCs w:val="22"/>
        </w:rPr>
        <w:tab/>
        <w:t>)</w:t>
      </w:r>
    </w:p>
    <w:p w:rsidR="00DB5E0B">
      <w:pPr>
        <w:widowControl w:val="0"/>
        <w:pBdr>
          <w:top w:val="nil"/>
          <w:left w:val="nil"/>
          <w:bottom w:val="nil"/>
          <w:right w:val="nil"/>
          <w:between w:val="nil"/>
        </w:pBdr>
        <w:tabs>
          <w:tab w:val="left" w:pos="4680"/>
          <w:tab w:val="left" w:pos="5760"/>
        </w:tabs>
        <w:jc w:val="both"/>
        <w:rPr>
          <w:color w:val="000000"/>
          <w:sz w:val="22"/>
          <w:szCs w:val="22"/>
        </w:rPr>
      </w:pPr>
      <w:r>
        <w:rPr>
          <w:sz w:val="22"/>
          <w:szCs w:val="22"/>
        </w:rPr>
        <w:t>Hamilton</w:t>
      </w:r>
      <w:r w:rsidR="00770E7E">
        <w:rPr>
          <w:sz w:val="22"/>
          <w:szCs w:val="22"/>
        </w:rPr>
        <w:t xml:space="preserve">, </w:t>
      </w:r>
      <w:r>
        <w:rPr>
          <w:sz w:val="22"/>
          <w:szCs w:val="22"/>
        </w:rPr>
        <w:t>Ohio</w:t>
      </w:r>
      <w:r w:rsidR="00637A21">
        <w:rPr>
          <w:color w:val="FF0000"/>
          <w:sz w:val="22"/>
          <w:szCs w:val="22"/>
        </w:rPr>
        <w:tab/>
      </w:r>
      <w:r w:rsidR="00637A21">
        <w:rPr>
          <w:color w:val="000000"/>
          <w:sz w:val="22"/>
          <w:szCs w:val="22"/>
        </w:rPr>
        <w:t>)</w:t>
      </w:r>
    </w:p>
    <w:p w:rsidR="00DB5E0B">
      <w:pPr>
        <w:tabs>
          <w:tab w:val="center" w:pos="4680"/>
          <w:tab w:val="left" w:pos="5760"/>
        </w:tabs>
        <w:jc w:val="both"/>
        <w:rPr>
          <w:sz w:val="22"/>
          <w:szCs w:val="22"/>
        </w:rPr>
      </w:pPr>
    </w:p>
    <w:p w:rsidR="00DB5E0B">
      <w:pPr>
        <w:tabs>
          <w:tab w:val="center" w:pos="4680"/>
          <w:tab w:val="left" w:pos="5760"/>
        </w:tabs>
        <w:jc w:val="both"/>
        <w:rPr>
          <w:sz w:val="22"/>
          <w:szCs w:val="22"/>
        </w:rPr>
      </w:pPr>
    </w:p>
    <w:p w:rsidR="00DB5E0B">
      <w:pPr>
        <w:pStyle w:val="Title"/>
        <w:tabs>
          <w:tab w:val="left" w:pos="5760"/>
        </w:tabs>
        <w:rPr>
          <w:sz w:val="22"/>
          <w:szCs w:val="22"/>
        </w:rPr>
      </w:pPr>
      <w:r>
        <w:rPr>
          <w:sz w:val="22"/>
          <w:szCs w:val="22"/>
        </w:rPr>
        <w:t>NOTICE OF VIOLATION</w:t>
      </w:r>
    </w:p>
    <w:p w:rsidR="00DB5E0B">
      <w:pPr>
        <w:tabs>
          <w:tab w:val="left" w:pos="6480"/>
        </w:tabs>
        <w:rPr>
          <w:b/>
          <w:sz w:val="22"/>
          <w:szCs w:val="22"/>
        </w:rPr>
      </w:pPr>
    </w:p>
    <w:p w:rsidR="00DB5E0B">
      <w:pPr>
        <w:pStyle w:val="Subtitle"/>
        <w:jc w:val="left"/>
      </w:pPr>
      <w:r>
        <w:tab/>
      </w:r>
    </w:p>
    <w:p w:rsidR="00DB5E0B" w:rsidP="0077714A">
      <w:pPr>
        <w:pStyle w:val="Subtitle"/>
        <w:tabs>
          <w:tab w:val="left" w:pos="6300"/>
        </w:tabs>
        <w:jc w:val="left"/>
      </w:pPr>
      <w:r>
        <w:tab/>
        <w:t xml:space="preserve">Released: </w:t>
      </w:r>
      <w:r w:rsidR="0077714A">
        <w:t>November 27, 2019</w:t>
      </w:r>
    </w:p>
    <w:p w:rsidR="0077714A" w:rsidRPr="0077714A" w:rsidP="0077714A"/>
    <w:p w:rsidR="00DB5E0B">
      <w:pPr>
        <w:rPr>
          <w:sz w:val="22"/>
          <w:szCs w:val="22"/>
        </w:rPr>
      </w:pPr>
      <w:r>
        <w:rPr>
          <w:sz w:val="22"/>
          <w:szCs w:val="22"/>
        </w:rPr>
        <w:t xml:space="preserve">By the Regional Director, Region </w:t>
      </w:r>
      <w:r w:rsidR="00770E7E">
        <w:rPr>
          <w:sz w:val="22"/>
          <w:szCs w:val="22"/>
        </w:rPr>
        <w:t>One</w:t>
      </w:r>
      <w:r>
        <w:rPr>
          <w:sz w:val="22"/>
          <w:szCs w:val="22"/>
        </w:rPr>
        <w:t>, Enforcement Bureau:</w:t>
      </w:r>
    </w:p>
    <w:p w:rsidR="00DB5E0B">
      <w:pPr>
        <w:widowControl w:val="0"/>
        <w:pBdr>
          <w:top w:val="nil"/>
          <w:left w:val="nil"/>
          <w:bottom w:val="nil"/>
          <w:right w:val="nil"/>
          <w:between w:val="nil"/>
        </w:pBdr>
        <w:rPr>
          <w:color w:val="000000"/>
          <w:sz w:val="22"/>
          <w:szCs w:val="22"/>
        </w:rPr>
      </w:pPr>
    </w:p>
    <w:p w:rsidR="00DB5E0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This is a Notice of Violation (Notice) issued pursuant to </w:t>
      </w:r>
      <w:r w:rsidR="00C321C5">
        <w:rPr>
          <w:color w:val="000000"/>
          <w:sz w:val="22"/>
          <w:szCs w:val="22"/>
        </w:rPr>
        <w:t>s</w:t>
      </w:r>
      <w:r>
        <w:rPr>
          <w:color w:val="000000"/>
          <w:sz w:val="22"/>
          <w:szCs w:val="22"/>
        </w:rPr>
        <w:t>ection 1.89 of the Commission’s rules (Rules),</w:t>
      </w:r>
      <w:r>
        <w:rPr>
          <w:color w:val="000000"/>
          <w:sz w:val="22"/>
          <w:szCs w:val="22"/>
          <w:vertAlign w:val="superscript"/>
        </w:rPr>
        <w:footnoteReference w:id="2"/>
      </w:r>
      <w:r>
        <w:rPr>
          <w:color w:val="000000"/>
          <w:sz w:val="22"/>
          <w:szCs w:val="22"/>
        </w:rPr>
        <w:t xml:space="preserve"> to </w:t>
      </w:r>
      <w:r w:rsidR="008D1E5E">
        <w:rPr>
          <w:sz w:val="22"/>
          <w:szCs w:val="22"/>
        </w:rPr>
        <w:t>Vernon R. Baldwin, Inc.</w:t>
      </w:r>
      <w:r>
        <w:rPr>
          <w:color w:val="000000"/>
          <w:sz w:val="22"/>
          <w:szCs w:val="22"/>
        </w:rPr>
        <w:t xml:space="preserve">, </w:t>
      </w:r>
      <w:r w:rsidR="00732BC2">
        <w:rPr>
          <w:color w:val="000000"/>
          <w:sz w:val="22"/>
          <w:szCs w:val="22"/>
        </w:rPr>
        <w:t xml:space="preserve">licensee </w:t>
      </w:r>
      <w:r>
        <w:rPr>
          <w:color w:val="000000"/>
          <w:sz w:val="22"/>
          <w:szCs w:val="22"/>
        </w:rPr>
        <w:t xml:space="preserve">of </w:t>
      </w:r>
      <w:r w:rsidR="00D63900">
        <w:rPr>
          <w:color w:val="000000"/>
          <w:sz w:val="22"/>
          <w:szCs w:val="22"/>
        </w:rPr>
        <w:t xml:space="preserve">AM </w:t>
      </w:r>
      <w:r>
        <w:rPr>
          <w:color w:val="000000"/>
          <w:sz w:val="22"/>
          <w:szCs w:val="22"/>
        </w:rPr>
        <w:t xml:space="preserve">station </w:t>
      </w:r>
      <w:r w:rsidR="008D1E5E">
        <w:rPr>
          <w:color w:val="000000"/>
          <w:sz w:val="22"/>
          <w:szCs w:val="22"/>
        </w:rPr>
        <w:t xml:space="preserve">WMOH </w:t>
      </w:r>
      <w:r>
        <w:rPr>
          <w:color w:val="000000"/>
          <w:sz w:val="22"/>
          <w:szCs w:val="22"/>
        </w:rPr>
        <w:t xml:space="preserve">in </w:t>
      </w:r>
      <w:r w:rsidR="008D1E5E">
        <w:rPr>
          <w:sz w:val="22"/>
          <w:szCs w:val="22"/>
        </w:rPr>
        <w:t>Hamilton, Ohio</w:t>
      </w:r>
      <w:r>
        <w:rPr>
          <w:color w:val="000000"/>
          <w:sz w:val="22"/>
          <w:szCs w:val="22"/>
        </w:rPr>
        <w:t xml:space="preserve">.  Pursuant to </w:t>
      </w:r>
      <w:r w:rsidR="00C321C5">
        <w:rPr>
          <w:color w:val="000000"/>
          <w:sz w:val="22"/>
          <w:szCs w:val="22"/>
        </w:rPr>
        <w:t>s</w:t>
      </w:r>
      <w:r>
        <w:rPr>
          <w:color w:val="000000"/>
          <w:sz w:val="22"/>
          <w:szCs w:val="22"/>
        </w:rPr>
        <w:t>ection 1.89(a) of the Rules, issuance of this Notice does not preclude the Enforcement Bureau from further action if warranted, including issuing a Notice of Apparent Liability for Forfeiture for the violation</w:t>
      </w:r>
      <w:r w:rsidR="00D63900">
        <w:rPr>
          <w:color w:val="000000"/>
          <w:sz w:val="22"/>
          <w:szCs w:val="22"/>
        </w:rPr>
        <w:t xml:space="preserve"> </w:t>
      </w:r>
      <w:r>
        <w:rPr>
          <w:color w:val="000000"/>
          <w:sz w:val="22"/>
          <w:szCs w:val="22"/>
        </w:rPr>
        <w:t>noted herein.</w:t>
      </w:r>
      <w:r>
        <w:rPr>
          <w:color w:val="000000"/>
          <w:vertAlign w:val="superscript"/>
        </w:rPr>
        <w:footnoteReference w:id="3"/>
      </w:r>
    </w:p>
    <w:p w:rsidR="00DB5E0B">
      <w:pPr>
        <w:rPr>
          <w:color w:val="000000"/>
          <w:sz w:val="22"/>
          <w:szCs w:val="22"/>
        </w:rPr>
      </w:pPr>
    </w:p>
    <w:p w:rsidR="00DB5E0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On </w:t>
      </w:r>
      <w:r w:rsidRPr="00C619C5" w:rsidR="008D1E5E">
        <w:rPr>
          <w:sz w:val="22"/>
          <w:szCs w:val="22"/>
        </w:rPr>
        <w:t>August</w:t>
      </w:r>
      <w:r w:rsidRPr="00C619C5" w:rsidR="0078474A">
        <w:rPr>
          <w:sz w:val="22"/>
          <w:szCs w:val="22"/>
        </w:rPr>
        <w:t xml:space="preserve"> </w:t>
      </w:r>
      <w:r w:rsidRPr="00C619C5" w:rsidR="008D1E5E">
        <w:rPr>
          <w:sz w:val="22"/>
          <w:szCs w:val="22"/>
        </w:rPr>
        <w:t>22</w:t>
      </w:r>
      <w:r w:rsidRPr="00C619C5" w:rsidR="0078474A">
        <w:rPr>
          <w:sz w:val="22"/>
          <w:szCs w:val="22"/>
        </w:rPr>
        <w:t>,</w:t>
      </w:r>
      <w:r w:rsidR="00B73903">
        <w:rPr>
          <w:color w:val="000000"/>
          <w:sz w:val="22"/>
          <w:szCs w:val="22"/>
        </w:rPr>
        <w:t xml:space="preserve"> 2019</w:t>
      </w:r>
      <w:r>
        <w:rPr>
          <w:color w:val="000000"/>
          <w:sz w:val="22"/>
          <w:szCs w:val="22"/>
        </w:rPr>
        <w:t xml:space="preserve">, </w:t>
      </w:r>
      <w:r w:rsidR="00B73903">
        <w:rPr>
          <w:color w:val="000000"/>
          <w:sz w:val="22"/>
          <w:szCs w:val="22"/>
        </w:rPr>
        <w:t xml:space="preserve">an </w:t>
      </w:r>
      <w:r w:rsidR="00511898">
        <w:rPr>
          <w:color w:val="000000"/>
          <w:sz w:val="22"/>
          <w:szCs w:val="22"/>
        </w:rPr>
        <w:t>A</w:t>
      </w:r>
      <w:r w:rsidR="00B73903">
        <w:rPr>
          <w:color w:val="000000"/>
          <w:sz w:val="22"/>
          <w:szCs w:val="22"/>
        </w:rPr>
        <w:t>gent</w:t>
      </w:r>
      <w:r>
        <w:rPr>
          <w:color w:val="000000"/>
          <w:sz w:val="22"/>
          <w:szCs w:val="22"/>
        </w:rPr>
        <w:t xml:space="preserve"> of the Enforcement </w:t>
      </w:r>
      <w:r w:rsidR="008D1E5E">
        <w:rPr>
          <w:color w:val="000000"/>
          <w:sz w:val="22"/>
          <w:szCs w:val="22"/>
        </w:rPr>
        <w:t xml:space="preserve">Bureau’s </w:t>
      </w:r>
      <w:r w:rsidR="008D1E5E">
        <w:rPr>
          <w:sz w:val="22"/>
          <w:szCs w:val="22"/>
        </w:rPr>
        <w:t>Columbia</w:t>
      </w:r>
      <w:r w:rsidR="008D1E5E">
        <w:rPr>
          <w:color w:val="000000"/>
          <w:sz w:val="22"/>
          <w:szCs w:val="22"/>
        </w:rPr>
        <w:t xml:space="preserve"> </w:t>
      </w:r>
      <w:r>
        <w:rPr>
          <w:color w:val="000000"/>
          <w:sz w:val="22"/>
          <w:szCs w:val="22"/>
        </w:rPr>
        <w:t xml:space="preserve">Office </w:t>
      </w:r>
      <w:r w:rsidR="00B05794">
        <w:rPr>
          <w:color w:val="000000"/>
          <w:sz w:val="22"/>
          <w:szCs w:val="22"/>
        </w:rPr>
        <w:t>in</w:t>
      </w:r>
      <w:r w:rsidR="00C619C5">
        <w:rPr>
          <w:color w:val="000000"/>
          <w:sz w:val="22"/>
          <w:szCs w:val="22"/>
        </w:rPr>
        <w:t xml:space="preserve">vestigated a complaint about the operation of </w:t>
      </w:r>
      <w:r w:rsidR="00B05794">
        <w:rPr>
          <w:color w:val="000000"/>
          <w:sz w:val="22"/>
          <w:szCs w:val="22"/>
        </w:rPr>
        <w:t>AM Station WMOH and found the following violation:</w:t>
      </w:r>
    </w:p>
    <w:p w:rsidR="00DB5E0B">
      <w:pPr>
        <w:ind w:left="720" w:right="720" w:firstLine="720"/>
        <w:rPr>
          <w:sz w:val="22"/>
          <w:szCs w:val="22"/>
        </w:rPr>
      </w:pPr>
    </w:p>
    <w:p w:rsidR="00D53608" w:rsidRPr="00D53608" w:rsidP="0077714A">
      <w:pPr>
        <w:numPr>
          <w:ilvl w:val="1"/>
          <w:numId w:val="4"/>
        </w:numPr>
        <w:tabs>
          <w:tab w:val="left" w:pos="1440"/>
        </w:tabs>
        <w:ind w:right="720"/>
        <w:rPr>
          <w:sz w:val="22"/>
          <w:szCs w:val="22"/>
        </w:rPr>
      </w:pPr>
      <w:bookmarkStart w:id="0" w:name="_gjdgxs" w:colFirst="0" w:colLast="0"/>
      <w:bookmarkEnd w:id="0"/>
      <w:r>
        <w:rPr>
          <w:sz w:val="22"/>
          <w:szCs w:val="22"/>
        </w:rPr>
        <w:t>47 CFR § 73.</w:t>
      </w:r>
      <w:r w:rsidR="008D1E5E">
        <w:rPr>
          <w:sz w:val="22"/>
          <w:szCs w:val="22"/>
        </w:rPr>
        <w:t>1590</w:t>
      </w:r>
      <w:r>
        <w:rPr>
          <w:sz w:val="22"/>
          <w:szCs w:val="22"/>
        </w:rPr>
        <w:t>(a)</w:t>
      </w:r>
      <w:r w:rsidR="008D1E5E">
        <w:rPr>
          <w:sz w:val="22"/>
          <w:szCs w:val="22"/>
        </w:rPr>
        <w:t>(6)</w:t>
      </w:r>
      <w:r w:rsidR="00637A21">
        <w:rPr>
          <w:sz w:val="22"/>
          <w:szCs w:val="22"/>
        </w:rPr>
        <w:t>: “</w:t>
      </w:r>
      <w:r w:rsidRPr="008D1E5E" w:rsidR="008D1E5E">
        <w:rPr>
          <w:sz w:val="22"/>
          <w:szCs w:val="22"/>
        </w:rPr>
        <w:t>The licensee of each AM, FM, TV and Class A</w:t>
      </w:r>
      <w:r w:rsidR="00EF54FB">
        <w:rPr>
          <w:sz w:val="22"/>
          <w:szCs w:val="22"/>
        </w:rPr>
        <w:t xml:space="preserve"> </w:t>
      </w:r>
      <w:r w:rsidRPr="008D1E5E" w:rsidR="008D1E5E">
        <w:rPr>
          <w:sz w:val="22"/>
          <w:szCs w:val="22"/>
        </w:rPr>
        <w:t>TV station, except licensees of Class D non-commercial educational FM stations authorized to operate with 10 watts or less output power, must make equipment performance measurements for each main transmitter as follows:</w:t>
      </w:r>
      <w:r w:rsidRPr="008D1E5E" w:rsidR="008D1E5E">
        <w:t xml:space="preserve"> </w:t>
      </w:r>
      <w:r w:rsidRPr="008D1E5E" w:rsidR="008D1E5E">
        <w:rPr>
          <w:sz w:val="22"/>
          <w:szCs w:val="22"/>
        </w:rPr>
        <w:t>Annually, for AM stations, with not more than 14 months between measurements.</w:t>
      </w:r>
      <w:r w:rsidRPr="00215F3A" w:rsidR="008D1E5E">
        <w:rPr>
          <w:sz w:val="22"/>
          <w:szCs w:val="22"/>
        </w:rPr>
        <w:t>”</w:t>
      </w:r>
      <w:r w:rsidR="008D1E5E">
        <w:rPr>
          <w:sz w:val="22"/>
          <w:szCs w:val="22"/>
        </w:rPr>
        <w:t xml:space="preserve"> …</w:t>
      </w:r>
      <w:r w:rsidRPr="00215F3A" w:rsidR="00215F3A">
        <w:rPr>
          <w:sz w:val="22"/>
          <w:szCs w:val="22"/>
        </w:rPr>
        <w:t xml:space="preserve"> </w:t>
      </w:r>
      <w:bookmarkStart w:id="1" w:name="_Hlk11914574"/>
      <w:r w:rsidR="00C42163">
        <w:rPr>
          <w:sz w:val="22"/>
          <w:szCs w:val="22"/>
        </w:rPr>
        <w:t>A</w:t>
      </w:r>
      <w:r w:rsidR="002A7253">
        <w:rPr>
          <w:sz w:val="22"/>
          <w:szCs w:val="22"/>
        </w:rPr>
        <w:t xml:space="preserve">t the time of the </w:t>
      </w:r>
      <w:r w:rsidR="00C42163">
        <w:rPr>
          <w:sz w:val="22"/>
          <w:szCs w:val="22"/>
        </w:rPr>
        <w:t>August 22, 2019</w:t>
      </w:r>
      <w:r w:rsidR="002A7253">
        <w:rPr>
          <w:sz w:val="22"/>
          <w:szCs w:val="22"/>
        </w:rPr>
        <w:t xml:space="preserve"> investigation</w:t>
      </w:r>
      <w:r w:rsidR="00C42163">
        <w:rPr>
          <w:sz w:val="22"/>
          <w:szCs w:val="22"/>
        </w:rPr>
        <w:t xml:space="preserve">, </w:t>
      </w:r>
      <w:r w:rsidR="00D63900">
        <w:rPr>
          <w:sz w:val="22"/>
          <w:szCs w:val="22"/>
        </w:rPr>
        <w:t xml:space="preserve">Vernon R. Baldwin, Inc. last made equipment performance measurements </w:t>
      </w:r>
      <w:r w:rsidR="002A7253">
        <w:rPr>
          <w:sz w:val="22"/>
          <w:szCs w:val="22"/>
        </w:rPr>
        <w:t xml:space="preserve">of AM Station WMOH </w:t>
      </w:r>
      <w:r w:rsidR="00D63900">
        <w:rPr>
          <w:sz w:val="22"/>
          <w:szCs w:val="22"/>
        </w:rPr>
        <w:t xml:space="preserve">in October 2017.  The most recent equipment performance measurements should have been made no later than December 2018.  </w:t>
      </w:r>
    </w:p>
    <w:bookmarkEnd w:id="1"/>
    <w:p w:rsidR="00DB5E0B">
      <w:pPr>
        <w:rPr>
          <w:sz w:val="22"/>
          <w:szCs w:val="22"/>
        </w:rPr>
      </w:pPr>
    </w:p>
    <w:p w:rsidR="00B05794">
      <w:pPr>
        <w:rPr>
          <w:sz w:val="22"/>
          <w:szCs w:val="22"/>
        </w:rPr>
      </w:pPr>
    </w:p>
    <w:p w:rsidR="00DB5E0B">
      <w:pPr>
        <w:numPr>
          <w:ilvl w:val="0"/>
          <w:numId w:val="1"/>
        </w:numPr>
        <w:ind w:left="0" w:firstLine="720"/>
        <w:rPr>
          <w:color w:val="000000"/>
          <w:sz w:val="22"/>
          <w:szCs w:val="22"/>
        </w:rPr>
      </w:pPr>
      <w:r>
        <w:rPr>
          <w:sz w:val="22"/>
          <w:szCs w:val="22"/>
        </w:rPr>
        <w:t>Pursuant to</w:t>
      </w:r>
      <w:r w:rsidR="00C321C5">
        <w:rPr>
          <w:sz w:val="22"/>
          <w:szCs w:val="22"/>
        </w:rPr>
        <w:t xml:space="preserve"> s</w:t>
      </w:r>
      <w:r>
        <w:rPr>
          <w:sz w:val="22"/>
          <w:szCs w:val="22"/>
        </w:rPr>
        <w:t>ection 308(b) of the Communications Act of 1934, as amended,</w:t>
      </w:r>
      <w:r>
        <w:rPr>
          <w:sz w:val="22"/>
          <w:szCs w:val="22"/>
          <w:vertAlign w:val="superscript"/>
        </w:rPr>
        <w:footnoteReference w:id="4"/>
      </w:r>
      <w:r>
        <w:rPr>
          <w:sz w:val="22"/>
          <w:szCs w:val="22"/>
        </w:rPr>
        <w:t xml:space="preserve"> and </w:t>
      </w:r>
      <w:r w:rsidR="00C321C5">
        <w:rPr>
          <w:sz w:val="22"/>
          <w:szCs w:val="22"/>
        </w:rPr>
        <w:t>s</w:t>
      </w:r>
      <w:r>
        <w:rPr>
          <w:sz w:val="22"/>
          <w:szCs w:val="22"/>
        </w:rPr>
        <w:t xml:space="preserve">ection 1.89 of the Rules, we seek additional information concerning the violations and any remedial actions taken.  Therefore, </w:t>
      </w:r>
      <w:r w:rsidR="008D1E5E">
        <w:rPr>
          <w:sz w:val="22"/>
          <w:szCs w:val="22"/>
        </w:rPr>
        <w:t>Vernon R. Baldwin, Inc.</w:t>
      </w:r>
      <w:r>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timeline for completion of any pending corrective action(s).  The response must be complete in itself</w:t>
      </w:r>
      <w:r>
        <w:rPr>
          <w:color w:val="800080"/>
          <w:sz w:val="22"/>
          <w:szCs w:val="22"/>
        </w:rPr>
        <w:t xml:space="preserve"> </w:t>
      </w:r>
      <w:r>
        <w:rPr>
          <w:sz w:val="22"/>
          <w:szCs w:val="22"/>
        </w:rPr>
        <w:t>and must not be abbreviated by reference to other communications or answers to other notices.</w:t>
      </w:r>
      <w:r>
        <w:rPr>
          <w:sz w:val="22"/>
          <w:szCs w:val="22"/>
          <w:vertAlign w:val="superscript"/>
        </w:rPr>
        <w:footnoteReference w:id="5"/>
      </w:r>
      <w:r>
        <w:rPr>
          <w:sz w:val="22"/>
          <w:szCs w:val="22"/>
        </w:rPr>
        <w:t xml:space="preserve">  </w:t>
      </w:r>
    </w:p>
    <w:p w:rsidR="00DB5E0B">
      <w:pPr>
        <w:widowControl w:val="0"/>
        <w:pBdr>
          <w:top w:val="nil"/>
          <w:left w:val="nil"/>
          <w:bottom w:val="nil"/>
          <w:right w:val="nil"/>
          <w:between w:val="nil"/>
        </w:pBdr>
        <w:rPr>
          <w:color w:val="000000"/>
          <w:sz w:val="22"/>
          <w:szCs w:val="22"/>
        </w:rPr>
      </w:pPr>
    </w:p>
    <w:p w:rsidR="00DB5E0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In accordance with </w:t>
      </w:r>
      <w:r w:rsidR="00C321C5">
        <w:rPr>
          <w:color w:val="000000"/>
          <w:sz w:val="22"/>
          <w:szCs w:val="22"/>
        </w:rPr>
        <w:t>s</w:t>
      </w:r>
      <w:r>
        <w:rPr>
          <w:color w:val="000000"/>
          <w:sz w:val="22"/>
          <w:szCs w:val="22"/>
        </w:rPr>
        <w:t xml:space="preserve">ection 1.16 of the Rules, we direct </w:t>
      </w:r>
      <w:r w:rsidR="008D1E5E">
        <w:rPr>
          <w:sz w:val="22"/>
          <w:szCs w:val="22"/>
        </w:rPr>
        <w:t>Vernon R. Baldwin, Inc.</w:t>
      </w:r>
      <w:r>
        <w:rPr>
          <w:sz w:val="22"/>
          <w:szCs w:val="22"/>
        </w:rPr>
        <w:t xml:space="preserve"> </w:t>
      </w:r>
      <w:r>
        <w:rPr>
          <w:color w:val="000000"/>
          <w:sz w:val="22"/>
          <w:szCs w:val="22"/>
        </w:rPr>
        <w:t xml:space="preserve">to support its response to this Notice with an affidavit or declaration under penalty of perjury, signed and dated by an authorized officer of </w:t>
      </w:r>
      <w:r w:rsidR="008D1E5E">
        <w:rPr>
          <w:sz w:val="22"/>
          <w:szCs w:val="22"/>
        </w:rPr>
        <w:t>Vernon R. Baldwin, Inc.</w:t>
      </w:r>
      <w:r>
        <w:rPr>
          <w:sz w:val="22"/>
          <w:szCs w:val="22"/>
        </w:rPr>
        <w:t xml:space="preserve"> </w:t>
      </w:r>
      <w:r>
        <w:rPr>
          <w:color w:val="000000"/>
          <w:sz w:val="22"/>
          <w:szCs w:val="22"/>
        </w:rPr>
        <w:t xml:space="preserve">with personal knowledge of the representations provided in </w:t>
      </w:r>
      <w:r w:rsidR="008D1E5E">
        <w:rPr>
          <w:color w:val="000000"/>
          <w:sz w:val="22"/>
          <w:szCs w:val="22"/>
        </w:rPr>
        <w:t>Vernon R. Baldwin, Inc.</w:t>
      </w:r>
      <w:r>
        <w:rPr>
          <w:color w:val="000000"/>
          <w:sz w:val="22"/>
          <w:szCs w:val="22"/>
        </w:rPr>
        <w:t>’</w:t>
      </w:r>
      <w:r w:rsidR="00D63900">
        <w:rPr>
          <w:color w:val="000000"/>
          <w:sz w:val="22"/>
          <w:szCs w:val="22"/>
        </w:rPr>
        <w:t>s</w:t>
      </w:r>
      <w:r>
        <w:rPr>
          <w:color w:val="000000"/>
          <w:sz w:val="22"/>
          <w:szCs w:val="22"/>
        </w:rPr>
        <w:t xml:space="preserve"> response, verifying the truth and accuracy of the information therein,</w:t>
      </w:r>
      <w:r>
        <w:rPr>
          <w:color w:val="000000"/>
          <w:vertAlign w:val="superscript"/>
        </w:rPr>
        <w:footnoteReference w:id="6"/>
      </w:r>
      <w:r>
        <w:rPr>
          <w:color w:val="000000"/>
          <w:sz w:val="22"/>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Pr>
          <w:color w:val="000000"/>
          <w:sz w:val="22"/>
          <w:szCs w:val="22"/>
          <w:vertAlign w:val="superscript"/>
        </w:rPr>
        <w:footnoteReference w:id="7"/>
      </w:r>
      <w:r>
        <w:rPr>
          <w:color w:val="000000"/>
          <w:sz w:val="22"/>
          <w:szCs w:val="22"/>
        </w:rPr>
        <w:t xml:space="preserve"> </w:t>
      </w:r>
      <w:r>
        <w:rPr>
          <w:color w:val="800080"/>
          <w:sz w:val="22"/>
          <w:szCs w:val="22"/>
        </w:rPr>
        <w:t xml:space="preserve"> </w:t>
      </w:r>
    </w:p>
    <w:p w:rsidR="00DB5E0B">
      <w:pPr>
        <w:widowControl w:val="0"/>
        <w:pBdr>
          <w:top w:val="nil"/>
          <w:left w:val="nil"/>
          <w:bottom w:val="nil"/>
          <w:right w:val="nil"/>
          <w:between w:val="nil"/>
        </w:pBdr>
        <w:rPr>
          <w:color w:val="000000"/>
          <w:sz w:val="22"/>
          <w:szCs w:val="22"/>
          <w:highlight w:val="yellow"/>
        </w:rPr>
      </w:pPr>
    </w:p>
    <w:p w:rsidR="00DB5E0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All replies and documentation sent in response to this Notice should be marked with the File No. specified above, and mailed and emailed to the following address:</w:t>
      </w:r>
    </w:p>
    <w:p w:rsidR="00DB5E0B">
      <w:pPr>
        <w:rPr>
          <w:sz w:val="22"/>
          <w:szCs w:val="22"/>
        </w:rPr>
      </w:pPr>
    </w:p>
    <w:p w:rsidR="008C1515" w:rsidRPr="002048BB" w:rsidP="008C1515">
      <w:pPr>
        <w:keepNext/>
        <w:keepLines/>
        <w:ind w:left="2520"/>
        <w:rPr>
          <w:sz w:val="22"/>
          <w:szCs w:val="22"/>
        </w:rPr>
      </w:pPr>
      <w:r w:rsidRPr="002048BB">
        <w:rPr>
          <w:sz w:val="22"/>
          <w:szCs w:val="22"/>
        </w:rPr>
        <w:t>Federal Communications Commission</w:t>
      </w:r>
    </w:p>
    <w:p w:rsidR="008C1515" w:rsidP="008C1515">
      <w:pPr>
        <w:keepNext/>
        <w:keepLines/>
        <w:ind w:left="2520"/>
        <w:rPr>
          <w:sz w:val="22"/>
          <w:szCs w:val="22"/>
        </w:rPr>
      </w:pPr>
      <w:r>
        <w:rPr>
          <w:sz w:val="22"/>
          <w:szCs w:val="22"/>
        </w:rPr>
        <w:t xml:space="preserve">Enforcement Bureau </w:t>
      </w:r>
      <w:r>
        <w:rPr>
          <w:sz w:val="22"/>
          <w:szCs w:val="22"/>
        </w:rPr>
        <w:br/>
      </w:r>
      <w:r>
        <w:rPr>
          <w:sz w:val="22"/>
          <w:szCs w:val="22"/>
        </w:rPr>
        <w:t>Columbia Regional Office</w:t>
      </w:r>
    </w:p>
    <w:p w:rsidR="008C1515" w:rsidP="008C1515">
      <w:pPr>
        <w:keepNext/>
        <w:keepLines/>
        <w:ind w:left="2520"/>
        <w:rPr>
          <w:sz w:val="22"/>
          <w:szCs w:val="22"/>
        </w:rPr>
      </w:pPr>
      <w:r>
        <w:rPr>
          <w:sz w:val="22"/>
          <w:szCs w:val="22"/>
        </w:rPr>
        <w:t>9050 Junction Drive</w:t>
      </w:r>
    </w:p>
    <w:p w:rsidR="008C1515" w:rsidP="008C1515">
      <w:pPr>
        <w:keepNext/>
        <w:keepLines/>
        <w:ind w:left="2520"/>
        <w:rPr>
          <w:sz w:val="22"/>
          <w:szCs w:val="22"/>
        </w:rPr>
      </w:pPr>
      <w:r>
        <w:rPr>
          <w:sz w:val="22"/>
          <w:szCs w:val="22"/>
        </w:rPr>
        <w:t>Annapolis, Maryland 20701</w:t>
      </w:r>
    </w:p>
    <w:p w:rsidR="00DB5E0B">
      <w:pPr>
        <w:tabs>
          <w:tab w:val="left" w:pos="-1440"/>
        </w:tabs>
        <w:ind w:left="720"/>
        <w:rPr>
          <w:sz w:val="22"/>
          <w:szCs w:val="22"/>
        </w:rPr>
      </w:pPr>
    </w:p>
    <w:p w:rsidR="00B05794">
      <w:pPr>
        <w:tabs>
          <w:tab w:val="left" w:pos="-1440"/>
        </w:tabs>
        <w:ind w:left="720"/>
        <w:rPr>
          <w:sz w:val="22"/>
          <w:szCs w:val="22"/>
        </w:rPr>
      </w:pPr>
    </w:p>
    <w:p w:rsidR="00DB5E0B" w:rsidRPr="00BC30B4" w:rsidP="00BC30B4">
      <w:pPr>
        <w:numPr>
          <w:ilvl w:val="0"/>
          <w:numId w:val="1"/>
        </w:numPr>
        <w:tabs>
          <w:tab w:val="left" w:pos="-1440"/>
        </w:tabs>
        <w:ind w:left="0" w:firstLine="720"/>
        <w:rPr>
          <w:sz w:val="22"/>
          <w:szCs w:val="22"/>
        </w:rPr>
      </w:pPr>
      <w:r w:rsidRPr="004765E1">
        <w:rPr>
          <w:sz w:val="22"/>
          <w:szCs w:val="22"/>
        </w:rPr>
        <w:t xml:space="preserve">This Notice shall be sent to </w:t>
      </w:r>
      <w:r w:rsidR="008D1E5E">
        <w:rPr>
          <w:sz w:val="22"/>
          <w:szCs w:val="22"/>
        </w:rPr>
        <w:t>Vernon R. Baldwin, Inc.</w:t>
      </w:r>
      <w:r w:rsidR="00B82154">
        <w:rPr>
          <w:sz w:val="22"/>
          <w:szCs w:val="22"/>
        </w:rPr>
        <w:t xml:space="preserve">, </w:t>
      </w:r>
      <w:r w:rsidRPr="008D1E5E" w:rsidR="008D1E5E">
        <w:rPr>
          <w:sz w:val="22"/>
          <w:szCs w:val="22"/>
        </w:rPr>
        <w:t>2081 Fairgrove Avenue</w:t>
      </w:r>
      <w:r w:rsidR="008D1E5E">
        <w:rPr>
          <w:sz w:val="22"/>
          <w:szCs w:val="22"/>
        </w:rPr>
        <w:t>, Hamilton, O</w:t>
      </w:r>
      <w:r w:rsidR="00B05794">
        <w:rPr>
          <w:sz w:val="22"/>
          <w:szCs w:val="22"/>
        </w:rPr>
        <w:t>hio</w:t>
      </w:r>
      <w:r w:rsidR="008D1E5E">
        <w:rPr>
          <w:sz w:val="22"/>
          <w:szCs w:val="22"/>
        </w:rPr>
        <w:t xml:space="preserve"> 45011</w:t>
      </w:r>
      <w:r w:rsidR="00B05794">
        <w:rPr>
          <w:sz w:val="22"/>
          <w:szCs w:val="22"/>
        </w:rPr>
        <w:t xml:space="preserve"> and </w:t>
      </w:r>
      <w:r w:rsidRPr="00873708" w:rsidR="00B05794">
        <w:rPr>
          <w:sz w:val="22"/>
          <w:szCs w:val="22"/>
        </w:rPr>
        <w:t>its counsel</w:t>
      </w:r>
      <w:r w:rsidR="00BC30B4">
        <w:rPr>
          <w:sz w:val="22"/>
          <w:szCs w:val="22"/>
        </w:rPr>
        <w:t>, John F. Garziglia, Womble Carlyle Sandridge &amp; Rice, LLP, 1200 19</w:t>
      </w:r>
      <w:r w:rsidRPr="00BC30B4" w:rsidR="00BC30B4">
        <w:rPr>
          <w:sz w:val="22"/>
          <w:szCs w:val="22"/>
          <w:vertAlign w:val="superscript"/>
        </w:rPr>
        <w:t>th</w:t>
      </w:r>
      <w:r w:rsidR="00BC30B4">
        <w:rPr>
          <w:sz w:val="22"/>
          <w:szCs w:val="22"/>
        </w:rPr>
        <w:t xml:space="preserve"> Street, N.W., Suite 500, Washington, D.C. 20036. </w:t>
      </w:r>
    </w:p>
    <w:p w:rsidR="004765E1" w:rsidRPr="004765E1" w:rsidP="004765E1">
      <w:pPr>
        <w:tabs>
          <w:tab w:val="left" w:pos="-1440"/>
        </w:tabs>
        <w:ind w:left="720"/>
        <w:rPr>
          <w:sz w:val="22"/>
          <w:szCs w:val="22"/>
        </w:rPr>
      </w:pPr>
    </w:p>
    <w:p w:rsidR="00DB5E0B">
      <w:pPr>
        <w:numPr>
          <w:ilvl w:val="0"/>
          <w:numId w:val="1"/>
        </w:numPr>
        <w:tabs>
          <w:tab w:val="left" w:pos="-1440"/>
        </w:tabs>
        <w:ind w:left="0" w:firstLine="720"/>
        <w:rPr>
          <w:sz w:val="22"/>
          <w:szCs w:val="22"/>
        </w:rPr>
      </w:pPr>
      <w:bookmarkStart w:id="2" w:name="_30j0zll" w:colFirst="0" w:colLast="0"/>
      <w:bookmarkEnd w:id="2"/>
      <w:r>
        <w:rPr>
          <w:sz w:val="22"/>
          <w:szCs w:val="22"/>
        </w:rPr>
        <w:t>The Privacy Act of 1974</w:t>
      </w:r>
      <w:r>
        <w:rPr>
          <w:sz w:val="22"/>
          <w:szCs w:val="22"/>
          <w:vertAlign w:val="superscript"/>
        </w:rPr>
        <w:footnoteReference w:id="8"/>
      </w:r>
      <w:r>
        <w:rPr>
          <w:sz w:val="22"/>
          <w:szCs w:val="22"/>
        </w:rPr>
        <w:t xml:space="preserve"> requires that we advise you that the Commission will use all relevant material information before it, </w:t>
      </w:r>
      <w:r w:rsidR="008D1E5E">
        <w:rPr>
          <w:sz w:val="22"/>
          <w:szCs w:val="22"/>
        </w:rPr>
        <w:t>Including</w:t>
      </w:r>
      <w:r>
        <w:rPr>
          <w:sz w:val="22"/>
          <w:szCs w:val="22"/>
        </w:rPr>
        <w:t xml:space="preserve"> any information disclosed in your reply, to determine what, if any, enforcement action is required to ensure compliance.  </w:t>
      </w:r>
    </w:p>
    <w:p w:rsidR="00DB5E0B">
      <w:pPr>
        <w:ind w:firstLine="4680"/>
        <w:rPr>
          <w:sz w:val="22"/>
          <w:szCs w:val="22"/>
        </w:rPr>
      </w:pPr>
    </w:p>
    <w:p w:rsidR="00DB5E0B">
      <w:pPr>
        <w:ind w:firstLine="4680"/>
        <w:rPr>
          <w:sz w:val="22"/>
          <w:szCs w:val="22"/>
        </w:rPr>
      </w:pPr>
    </w:p>
    <w:p w:rsidR="00DB5E0B">
      <w:pPr>
        <w:ind w:firstLine="4680"/>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2964180</wp:posOffset>
            </wp:positionH>
            <wp:positionV relativeFrom="paragraph">
              <wp:posOffset>161968</wp:posOffset>
            </wp:positionV>
            <wp:extent cx="1764792" cy="59436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464039" name="DCD signature.bmp"/>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764792" cy="594360"/>
                    </a:xfrm>
                    <a:prstGeom prst="rect">
                      <a:avLst/>
                    </a:prstGeom>
                  </pic:spPr>
                </pic:pic>
              </a:graphicData>
            </a:graphic>
            <wp14:sizeRelH relativeFrom="margin">
              <wp14:pctWidth>0</wp14:pctWidth>
            </wp14:sizeRelH>
            <wp14:sizeRelV relativeFrom="margin">
              <wp14:pctHeight>0</wp14:pctHeight>
            </wp14:sizeRelV>
          </wp:anchor>
        </w:drawing>
      </w:r>
      <w:r w:rsidR="00637A21">
        <w:rPr>
          <w:sz w:val="22"/>
          <w:szCs w:val="22"/>
        </w:rPr>
        <w:t>FEDERAL COMMUNICATIONS COMMISSION</w:t>
      </w:r>
    </w:p>
    <w:p w:rsidR="00DB5E0B">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F7AA6">
        <w:rPr>
          <w:sz w:val="22"/>
          <w:szCs w:val="22"/>
        </w:rPr>
        <w:tab/>
      </w:r>
      <w:r w:rsidR="00DF7AA6">
        <w:rPr>
          <w:sz w:val="22"/>
          <w:szCs w:val="22"/>
        </w:rPr>
        <w:tab/>
      </w:r>
      <w:r w:rsidR="00DF7AA6">
        <w:rPr>
          <w:sz w:val="22"/>
          <w:szCs w:val="22"/>
        </w:rPr>
        <w:tab/>
      </w:r>
      <w:r w:rsidR="00DF7AA6">
        <w:rPr>
          <w:sz w:val="22"/>
          <w:szCs w:val="22"/>
        </w:rPr>
        <w:tab/>
      </w:r>
      <w:r w:rsidR="00DF7AA6">
        <w:rPr>
          <w:sz w:val="22"/>
          <w:szCs w:val="22"/>
        </w:rPr>
        <w:tab/>
      </w:r>
      <w:r w:rsidR="00DF7AA6">
        <w:rPr>
          <w:sz w:val="22"/>
          <w:szCs w:val="22"/>
        </w:rPr>
        <w:tab/>
        <w:t xml:space="preserve">      </w:t>
      </w:r>
    </w:p>
    <w:p w:rsidR="000A7B1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76E1">
      <w:pPr>
        <w:rPr>
          <w:sz w:val="22"/>
          <w:szCs w:val="22"/>
        </w:rPr>
      </w:pPr>
    </w:p>
    <w:p w:rsidR="0077714A">
      <w:pPr>
        <w:rPr>
          <w:sz w:val="22"/>
          <w:szCs w:val="22"/>
        </w:rPr>
      </w:pPr>
    </w:p>
    <w:p w:rsidR="000B1F67" w:rsidRPr="00D01FB5" w:rsidP="000B1F67">
      <w:pPr>
        <w:pStyle w:val="Header"/>
        <w:ind w:firstLine="4680"/>
        <w:rPr>
          <w:sz w:val="22"/>
          <w:szCs w:val="22"/>
        </w:rPr>
      </w:pPr>
      <w:r w:rsidRPr="00D01FB5">
        <w:rPr>
          <w:sz w:val="22"/>
          <w:szCs w:val="22"/>
        </w:rPr>
        <w:t>David C. Dombrowski</w:t>
      </w:r>
    </w:p>
    <w:p w:rsidR="000B1F67" w:rsidRPr="00D01FB5" w:rsidP="000B1F67">
      <w:pPr>
        <w:pStyle w:val="Header"/>
        <w:ind w:firstLine="4680"/>
        <w:rPr>
          <w:sz w:val="22"/>
          <w:szCs w:val="22"/>
        </w:rPr>
      </w:pPr>
      <w:r w:rsidRPr="00D01FB5">
        <w:rPr>
          <w:sz w:val="22"/>
          <w:szCs w:val="22"/>
        </w:rPr>
        <w:t>Regional Director</w:t>
      </w:r>
    </w:p>
    <w:p w:rsidR="000B1F67" w:rsidRPr="00D01FB5" w:rsidP="000B1F67">
      <w:pPr>
        <w:pStyle w:val="Header"/>
        <w:ind w:firstLine="4680"/>
        <w:rPr>
          <w:sz w:val="22"/>
          <w:szCs w:val="22"/>
        </w:rPr>
      </w:pPr>
      <w:r w:rsidRPr="00D01FB5">
        <w:rPr>
          <w:sz w:val="22"/>
          <w:szCs w:val="22"/>
        </w:rPr>
        <w:t>Region One</w:t>
      </w:r>
    </w:p>
    <w:p w:rsidR="000B1F67" w:rsidRPr="00D01FB5" w:rsidP="000B1F67">
      <w:pPr>
        <w:pStyle w:val="Header"/>
        <w:ind w:firstLine="4680"/>
        <w:rPr>
          <w:sz w:val="22"/>
          <w:szCs w:val="22"/>
        </w:rPr>
      </w:pPr>
      <w:r w:rsidRPr="00D01FB5">
        <w:rPr>
          <w:sz w:val="22"/>
          <w:szCs w:val="22"/>
        </w:rPr>
        <w:t>Enforcement Bureau</w:t>
      </w:r>
    </w:p>
    <w:p w:rsidR="000B1F67" w:rsidRPr="00D01FB5" w:rsidP="000B1F67">
      <w:pPr>
        <w:pStyle w:val="Header"/>
        <w:ind w:firstLine="4680"/>
        <w:rPr>
          <w:sz w:val="22"/>
          <w:szCs w:val="22"/>
        </w:rPr>
      </w:pPr>
      <w:r w:rsidRPr="00D01FB5">
        <w:rPr>
          <w:sz w:val="22"/>
          <w:szCs w:val="22"/>
        </w:rPr>
        <w:t>Federal Communications Commission</w:t>
      </w:r>
    </w:p>
    <w:p w:rsidR="00DB5E0B">
      <w:pPr>
        <w:rPr>
          <w:sz w:val="22"/>
          <w:szCs w:val="22"/>
        </w:rPr>
      </w:pPr>
      <w:bookmarkStart w:id="3" w:name="_GoBack"/>
      <w:bookmarkEnd w:id="3"/>
    </w:p>
    <w:sectPr>
      <w:headerReference w:type="default" r:id="rId6"/>
      <w:footerReference w:type="even" r:id="rId7"/>
      <w:footerReference w:type="default" r:id="rId8"/>
      <w:headerReference w:type="first" r:id="rId9"/>
      <w:pgSz w:w="12240" w:h="15840"/>
      <w:pgMar w:top="1440" w:right="1440" w:bottom="1440" w:left="1440" w:header="1440" w:footer="144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01A">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fldChar w:fldCharType="end"/>
    </w:r>
  </w:p>
  <w:p w:rsidR="002E201A">
    <w:pPr>
      <w:widowControl w:val="0"/>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01A">
    <w:pPr>
      <w:widowControl w:val="0"/>
      <w:pBdr>
        <w:top w:val="nil"/>
        <w:left w:val="nil"/>
        <w:bottom w:val="nil"/>
        <w:right w:val="nil"/>
        <w:between w:val="nil"/>
      </w:pBdr>
      <w:tabs>
        <w:tab w:val="center" w:pos="4320"/>
        <w:tab w:val="right" w:pos="8640"/>
      </w:tabs>
      <w:jc w:val="center"/>
      <w:rPr>
        <w:color w:val="000000"/>
        <w:sz w:val="24"/>
        <w:szCs w:val="24"/>
      </w:rPr>
    </w:pPr>
  </w:p>
  <w:p w:rsidR="002E201A">
    <w:pPr>
      <w:widowControl w:val="0"/>
      <w:pBdr>
        <w:top w:val="nil"/>
        <w:left w:val="nil"/>
        <w:bottom w:val="nil"/>
        <w:right w:val="nil"/>
        <w:between w:val="nil"/>
      </w:pBdr>
      <w:tabs>
        <w:tab w:val="center" w:pos="4320"/>
        <w:tab w:val="right" w:pos="8640"/>
      </w:tabs>
      <w:jc w:val="center"/>
      <w:rPr>
        <w:color w:val="000000"/>
        <w:sz w:val="24"/>
        <w:szCs w:val="24"/>
      </w:rPr>
    </w:pPr>
  </w:p>
  <w:p w:rsidR="002E201A">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3</w:t>
    </w:r>
    <w:r>
      <w:rPr>
        <w:color w:val="000000"/>
        <w:sz w:val="24"/>
        <w:szCs w:val="24"/>
      </w:rPr>
      <w:fldChar w:fldCharType="end"/>
    </w:r>
  </w:p>
  <w:p w:rsidR="002E201A">
    <w:pPr>
      <w:rPr>
        <w:sz w:val="22"/>
        <w:szCs w:val="22"/>
      </w:rPr>
    </w:pPr>
  </w:p>
  <w:p w:rsidR="002E201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68CA">
      <w:r>
        <w:separator/>
      </w:r>
    </w:p>
  </w:footnote>
  <w:footnote w:type="continuationSeparator" w:id="1">
    <w:p w:rsidR="003068CA">
      <w:r>
        <w:continuationSeparator/>
      </w:r>
    </w:p>
  </w:footnote>
  <w:footnote w:id="2">
    <w:p w:rsidR="002E201A" w:rsidP="006D6F04">
      <w:pPr>
        <w:widowControl w:val="0"/>
        <w:pBdr>
          <w:top w:val="nil"/>
          <w:left w:val="nil"/>
          <w:bottom w:val="nil"/>
          <w:right w:val="nil"/>
          <w:between w:val="nil"/>
        </w:pBdr>
        <w:spacing w:after="120"/>
        <w:rPr>
          <w:color w:val="000000"/>
        </w:rPr>
      </w:pPr>
      <w:r>
        <w:rPr>
          <w:vertAlign w:val="superscript"/>
        </w:rPr>
        <w:footnoteRef/>
      </w:r>
      <w:r>
        <w:rPr>
          <w:color w:val="000000"/>
        </w:rPr>
        <w:t xml:space="preserve"> 47 CFR § 1.89.</w:t>
      </w:r>
    </w:p>
  </w:footnote>
  <w:footnote w:id="3">
    <w:p w:rsidR="002E201A" w:rsidP="006D6F04">
      <w:pPr>
        <w:tabs>
          <w:tab w:val="left" w:pos="-1440"/>
        </w:tabs>
        <w:spacing w:after="120"/>
        <w:rPr>
          <w:color w:val="000000"/>
          <w:sz w:val="18"/>
          <w:szCs w:val="18"/>
        </w:rPr>
      </w:pPr>
      <w:r>
        <w:rPr>
          <w:vertAlign w:val="superscript"/>
        </w:rPr>
        <w:footnoteRef/>
      </w:r>
      <w:r>
        <w:t xml:space="preserve"> 47 CFR § 1.89(a).</w:t>
      </w:r>
    </w:p>
  </w:footnote>
  <w:footnote w:id="4">
    <w:p w:rsidR="002E201A" w:rsidP="00C321C5">
      <w:pPr>
        <w:widowControl w:val="0"/>
        <w:pBdr>
          <w:top w:val="nil"/>
          <w:left w:val="nil"/>
          <w:bottom w:val="nil"/>
          <w:right w:val="nil"/>
          <w:between w:val="nil"/>
        </w:pBdr>
        <w:spacing w:after="120"/>
        <w:rPr>
          <w:color w:val="000000"/>
        </w:rPr>
      </w:pPr>
      <w:r>
        <w:rPr>
          <w:vertAlign w:val="superscript"/>
        </w:rPr>
        <w:footnoteRef/>
      </w:r>
      <w:r>
        <w:rPr>
          <w:color w:val="000000"/>
        </w:rPr>
        <w:t xml:space="preserve"> 47 U.S.C. § 308(b).</w:t>
      </w:r>
    </w:p>
  </w:footnote>
  <w:footnote w:id="5">
    <w:p w:rsidR="002E201A">
      <w:pPr>
        <w:widowControl w:val="0"/>
        <w:pBdr>
          <w:top w:val="nil"/>
          <w:left w:val="nil"/>
          <w:bottom w:val="nil"/>
          <w:right w:val="nil"/>
          <w:between w:val="nil"/>
        </w:pBdr>
        <w:spacing w:after="120"/>
        <w:rPr>
          <w:color w:val="000000"/>
          <w:sz w:val="18"/>
          <w:szCs w:val="18"/>
        </w:rPr>
      </w:pPr>
      <w:r>
        <w:rPr>
          <w:vertAlign w:val="superscript"/>
        </w:rPr>
        <w:footnoteRef/>
      </w:r>
      <w:r>
        <w:rPr>
          <w:color w:val="000000"/>
        </w:rPr>
        <w:t xml:space="preserve"> 47 CFR § 1.89(c).</w:t>
      </w:r>
    </w:p>
  </w:footnote>
  <w:footnote w:id="6">
    <w:p w:rsidR="002E201A">
      <w:pPr>
        <w:widowControl w:val="0"/>
        <w:spacing w:after="120"/>
      </w:pPr>
      <w:r>
        <w:rPr>
          <w:vertAlign w:val="superscript"/>
        </w:rPr>
        <w:footnoteRef/>
      </w:r>
      <w:r>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2E201A">
      <w:pPr>
        <w:widowControl w:val="0"/>
        <w:pBdr>
          <w:top w:val="nil"/>
          <w:left w:val="nil"/>
          <w:bottom w:val="nil"/>
          <w:right w:val="nil"/>
          <w:between w:val="nil"/>
        </w:pBdr>
        <w:spacing w:after="120"/>
        <w:rPr>
          <w:color w:val="000000"/>
        </w:rPr>
      </w:pPr>
      <w:r>
        <w:rPr>
          <w:vertAlign w:val="superscript"/>
        </w:rPr>
        <w:footnoteRef/>
      </w:r>
      <w:r>
        <w:rPr>
          <w:color w:val="000000"/>
        </w:rPr>
        <w:t xml:space="preserve"> 18 U.S.C. § 1001 </w:t>
      </w:r>
      <w:r>
        <w:rPr>
          <w:i/>
          <w:color w:val="000000"/>
        </w:rPr>
        <w:t xml:space="preserve">et seq. See also </w:t>
      </w:r>
      <w:r>
        <w:rPr>
          <w:color w:val="000000"/>
        </w:rPr>
        <w:t>47 CFR § 1.17.</w:t>
      </w:r>
    </w:p>
  </w:footnote>
  <w:footnote w:id="8">
    <w:p w:rsidR="002E201A">
      <w:pPr>
        <w:widowControl w:val="0"/>
        <w:pBdr>
          <w:top w:val="nil"/>
          <w:left w:val="nil"/>
          <w:bottom w:val="nil"/>
          <w:right w:val="nil"/>
          <w:between w:val="nil"/>
        </w:pBdr>
        <w:rPr>
          <w:color w:val="000000"/>
        </w:rPr>
      </w:pPr>
      <w:r>
        <w:rPr>
          <w:vertAlign w:val="superscript"/>
        </w:rPr>
        <w:footnoteRef/>
      </w:r>
      <w:r>
        <w:rPr>
          <w:color w:val="000000"/>
        </w:rPr>
        <w:t xml:space="preserve"> 5 U.S.C. § 552a(e)(3).</w:t>
      </w:r>
    </w:p>
    <w:p w:rsidR="002E201A">
      <w:pPr>
        <w:widowControl w:val="0"/>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01A">
    <w:pPr>
      <w:tabs>
        <w:tab w:val="center" w:pos="4680"/>
        <w:tab w:val="right" w:pos="9360"/>
      </w:tabs>
      <w:jc w:val="both"/>
      <w:rPr>
        <w:sz w:val="22"/>
        <w:szCs w:val="22"/>
      </w:rPr>
    </w:pPr>
    <w:r>
      <w:rPr>
        <w:sz w:val="22"/>
        <w:szCs w:val="22"/>
      </w:rPr>
      <w:tab/>
    </w:r>
    <w:r>
      <w:rPr>
        <w:b/>
        <w:sz w:val="22"/>
        <w:szCs w:val="22"/>
      </w:rPr>
      <w:t>Federal Communications Commission</w:t>
    </w:r>
    <w:r>
      <w:rPr>
        <w:b/>
        <w:sz w:val="22"/>
        <w:szCs w:val="22"/>
      </w:rPr>
      <w:tab/>
    </w:r>
  </w:p>
  <w:p w:rsidR="002E201A">
    <w:pPr>
      <w:jc w:val="both"/>
      <w:rPr>
        <w:sz w:val="22"/>
        <w:szCs w:val="22"/>
      </w:rPr>
    </w:pPr>
    <w:r>
      <w:rPr>
        <w:noProof/>
      </w:rPr>
      <mc:AlternateContent>
        <mc:Choice Requires="wps">
          <w:drawing>
            <wp:anchor distT="0" distB="0" distL="0" distR="0" simplePos="0" relativeHeight="251658240" behindDoc="1" locked="0" layoutInCell="1" allowOverlap="1">
              <wp:simplePos x="0" y="0"/>
              <wp:positionH relativeFrom="column">
                <wp:posOffset>0</wp:posOffset>
              </wp:positionH>
              <wp:positionV relativeFrom="paragraph">
                <wp:posOffset>0</wp:posOffset>
              </wp:positionV>
              <wp:extent cx="5943600" cy="12700"/>
              <wp:effectExtent l="0" t="0" r="0" b="0"/>
              <wp:wrapSquare wrapText="bothSides"/>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2E201A"/>
                      </w:txbxContent>
                    </wps:txbx>
                    <wps:bodyPr spcFirstLastPara="1" wrap="square" lIns="91425" tIns="91425" rIns="91425" bIns="91425" anchor="ctr" anchorCtr="0"/>
                  </wps:wsp>
                </a:graphicData>
              </a:graphic>
            </wp:anchor>
          </w:drawing>
        </mc:Choice>
        <mc:Fallback>
          <w:pict>
            <v:rect id="Rectangle 2" o:spid="_x0000_s2049" style="width:468pt;height:1pt;margin-top:0;margin-left:0;mso-wrap-distance-bottom:0;mso-wrap-distance-left:0;mso-wrap-distance-right:0;mso-wrap-distance-top:0;mso-wrap-style:square;position:absolute;visibility:visible;v-text-anchor:middle;z-index:-251657216" fillcolor="black" stroked="f">
              <v:textbox inset="7.2pt,7.2pt,7.2pt,7.2pt">
                <w:txbxContent>
                  <w:p w:rsidR="002E201A"/>
                </w:txbxContent>
              </v:textbox>
              <w10:wrap type="square"/>
            </v:rect>
          </w:pict>
        </mc:Fallback>
      </mc:AlternateContent>
    </w:r>
  </w:p>
  <w:p w:rsidR="002E201A">
    <w:pPr>
      <w:jc w:val="both"/>
      <w:rPr>
        <w:sz w:val="22"/>
        <w:szCs w:val="22"/>
      </w:rPr>
    </w:pPr>
  </w:p>
  <w:p w:rsidR="002E201A">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01A">
    <w:pPr>
      <w:pStyle w:val="Heading2"/>
      <w:tabs>
        <w:tab w:val="right" w:pos="9360"/>
      </w:tabs>
    </w:pPr>
    <w:r>
      <w:t>Federal Communications Commission</w:t>
    </w:r>
  </w:p>
  <w:p w:rsidR="002E201A">
    <w:pPr>
      <w:jc w:val="both"/>
      <w:rPr>
        <w:sz w:val="22"/>
        <w:szCs w:val="22"/>
      </w:rPr>
    </w:pPr>
    <w:r>
      <w:rPr>
        <w:noProof/>
      </w:rPr>
      <mc:AlternateContent>
        <mc:Choice Requires="wps">
          <w:drawing>
            <wp:anchor distT="0" distB="0" distL="0" distR="0" simplePos="0" relativeHeight="251660288" behindDoc="1" locked="0" layoutInCell="1" allowOverlap="1">
              <wp:simplePos x="0" y="0"/>
              <wp:positionH relativeFrom="column">
                <wp:posOffset>0</wp:posOffset>
              </wp:positionH>
              <wp:positionV relativeFrom="paragraph">
                <wp:posOffset>0</wp:posOffset>
              </wp:positionV>
              <wp:extent cx="5943600" cy="12700"/>
              <wp:effectExtent l="0" t="0" r="0" b="0"/>
              <wp:wrapSquare wrapText="bothSides"/>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2E201A"/>
                      </w:txbxContent>
                    </wps:txbx>
                    <wps:bodyPr spcFirstLastPara="1" wrap="square" lIns="91425" tIns="91425" rIns="91425" bIns="91425" anchor="ctr" anchorCtr="0"/>
                  </wps:wsp>
                </a:graphicData>
              </a:graphic>
            </wp:anchor>
          </w:drawing>
        </mc:Choice>
        <mc:Fallback>
          <w:pict>
            <v:rect id="Rectangle 1" o:spid="_x0000_s2050" style="width:468pt;height:1pt;margin-top:0;margin-left:0;mso-wrap-distance-bottom:0;mso-wrap-distance-left:0;mso-wrap-distance-right:0;mso-wrap-distance-top:0;mso-wrap-style:square;position:absolute;visibility:visible;v-text-anchor:middle;z-index:-251655168" fillcolor="black" stroked="f">
              <v:textbox inset="7.2pt,7.2pt,7.2pt,7.2pt">
                <w:txbxContent>
                  <w:p w:rsidR="002E201A"/>
                </w:txbxContent>
              </v:textbox>
              <w10:wrap type="square"/>
            </v:rect>
          </w:pict>
        </mc:Fallback>
      </mc:AlternateContent>
    </w:r>
  </w:p>
  <w:p w:rsidR="002E201A">
    <w:pPr>
      <w:tabs>
        <w:tab w:val="center" w:pos="4680"/>
        <w:tab w:val="right" w:pos="9360"/>
      </w:tabs>
      <w:jc w:val="both"/>
    </w:pPr>
  </w:p>
  <w:p w:rsidR="002E201A">
    <w:pPr>
      <w:tabs>
        <w:tab w:val="center" w:pos="468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43614A"/>
    <w:multiLevelType w:val="multilevel"/>
    <w:tmpl w:val="6C2C7164"/>
    <w:lvl w:ilvl="0">
      <w:start w:val="1"/>
      <w:numFmt w:val="decimal"/>
      <w:lvlText w:val="%1."/>
      <w:lvlJc w:val="left"/>
      <w:pPr>
        <w:ind w:left="720" w:hanging="360"/>
      </w:pPr>
      <w:rPr>
        <w:b w:val="0"/>
        <w:i w:val="0"/>
      </w:rPr>
    </w:lvl>
    <w:lvl w:ilvl="1">
      <w:start w:val="1"/>
      <w:numFmt w:val="lowerLetter"/>
      <w:lvlText w:val="%2."/>
      <w:lvlJc w:val="left"/>
      <w:pPr>
        <w:ind w:left="2520" w:hanging="144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583299"/>
    <w:multiLevelType w:val="multilevel"/>
    <w:tmpl w:val="E9529044"/>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3687448"/>
    <w:multiLevelType w:val="multilevel"/>
    <w:tmpl w:val="6C2C7164"/>
    <w:lvl w:ilvl="0">
      <w:start w:val="1"/>
      <w:numFmt w:val="decimal"/>
      <w:lvlText w:val="%1."/>
      <w:lvlJc w:val="left"/>
      <w:pPr>
        <w:ind w:left="720" w:hanging="360"/>
      </w:pPr>
      <w:rPr>
        <w:b w:val="0"/>
        <w:i w:val="0"/>
      </w:rPr>
    </w:lvl>
    <w:lvl w:ilvl="1">
      <w:start w:val="1"/>
      <w:numFmt w:val="lowerLetter"/>
      <w:lvlText w:val="%2."/>
      <w:lvlJc w:val="left"/>
      <w:pPr>
        <w:ind w:left="2520" w:hanging="144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247334"/>
    <w:multiLevelType w:val="multilevel"/>
    <w:tmpl w:val="E88ABC40"/>
    <w:lvl w:ilvl="0">
      <w:start w:val="1"/>
      <w:numFmt w:val="lowerLetter"/>
      <w:lvlText w:val="%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0B"/>
    <w:rsid w:val="00020D7A"/>
    <w:rsid w:val="0002464B"/>
    <w:rsid w:val="0002499E"/>
    <w:rsid w:val="000367CA"/>
    <w:rsid w:val="000A7B15"/>
    <w:rsid w:val="000B1F67"/>
    <w:rsid w:val="000C3AB3"/>
    <w:rsid w:val="000E1FCA"/>
    <w:rsid w:val="0010266B"/>
    <w:rsid w:val="00104030"/>
    <w:rsid w:val="00110A0E"/>
    <w:rsid w:val="00161F5A"/>
    <w:rsid w:val="00175FBD"/>
    <w:rsid w:val="001A0CAA"/>
    <w:rsid w:val="001B43CD"/>
    <w:rsid w:val="001C13DF"/>
    <w:rsid w:val="002048BB"/>
    <w:rsid w:val="00215F3A"/>
    <w:rsid w:val="0023349C"/>
    <w:rsid w:val="00234B6C"/>
    <w:rsid w:val="00234C78"/>
    <w:rsid w:val="00262FBA"/>
    <w:rsid w:val="002A7253"/>
    <w:rsid w:val="002E201A"/>
    <w:rsid w:val="002E5E89"/>
    <w:rsid w:val="002F2D11"/>
    <w:rsid w:val="003068CA"/>
    <w:rsid w:val="00343ABC"/>
    <w:rsid w:val="00390EB5"/>
    <w:rsid w:val="00394F96"/>
    <w:rsid w:val="00397605"/>
    <w:rsid w:val="0042455B"/>
    <w:rsid w:val="00452E95"/>
    <w:rsid w:val="004765E1"/>
    <w:rsid w:val="004C746F"/>
    <w:rsid w:val="004E09A9"/>
    <w:rsid w:val="00504490"/>
    <w:rsid w:val="00511898"/>
    <w:rsid w:val="0052524A"/>
    <w:rsid w:val="00526EEB"/>
    <w:rsid w:val="0057634F"/>
    <w:rsid w:val="005B6432"/>
    <w:rsid w:val="005E1B09"/>
    <w:rsid w:val="00637A21"/>
    <w:rsid w:val="006547F4"/>
    <w:rsid w:val="00665501"/>
    <w:rsid w:val="006B66A6"/>
    <w:rsid w:val="006D6F04"/>
    <w:rsid w:val="007250C4"/>
    <w:rsid w:val="00732BC2"/>
    <w:rsid w:val="00765844"/>
    <w:rsid w:val="00770E7E"/>
    <w:rsid w:val="0077714A"/>
    <w:rsid w:val="00781C12"/>
    <w:rsid w:val="0078474A"/>
    <w:rsid w:val="007A7A19"/>
    <w:rsid w:val="007D7FE9"/>
    <w:rsid w:val="00840289"/>
    <w:rsid w:val="00873708"/>
    <w:rsid w:val="008B0D5D"/>
    <w:rsid w:val="008C1515"/>
    <w:rsid w:val="008D1E5E"/>
    <w:rsid w:val="0097569D"/>
    <w:rsid w:val="009768B3"/>
    <w:rsid w:val="009976E1"/>
    <w:rsid w:val="009C4586"/>
    <w:rsid w:val="009D40FF"/>
    <w:rsid w:val="00A0431C"/>
    <w:rsid w:val="00A451D4"/>
    <w:rsid w:val="00A741E2"/>
    <w:rsid w:val="00B05794"/>
    <w:rsid w:val="00B2589E"/>
    <w:rsid w:val="00B73903"/>
    <w:rsid w:val="00B82154"/>
    <w:rsid w:val="00B95B70"/>
    <w:rsid w:val="00BC30B4"/>
    <w:rsid w:val="00C321C5"/>
    <w:rsid w:val="00C42163"/>
    <w:rsid w:val="00C42DA4"/>
    <w:rsid w:val="00C5126D"/>
    <w:rsid w:val="00C619C5"/>
    <w:rsid w:val="00C677F1"/>
    <w:rsid w:val="00C770E2"/>
    <w:rsid w:val="00CD1ECF"/>
    <w:rsid w:val="00D01FB5"/>
    <w:rsid w:val="00D034C3"/>
    <w:rsid w:val="00D36BA8"/>
    <w:rsid w:val="00D4504E"/>
    <w:rsid w:val="00D53608"/>
    <w:rsid w:val="00D63900"/>
    <w:rsid w:val="00DB5E0B"/>
    <w:rsid w:val="00DF7AA6"/>
    <w:rsid w:val="00E035BF"/>
    <w:rsid w:val="00E062C3"/>
    <w:rsid w:val="00E455B3"/>
    <w:rsid w:val="00EC0B54"/>
    <w:rsid w:val="00EF54FB"/>
    <w:rsid w:val="00F32402"/>
    <w:rsid w:val="00F44D76"/>
    <w:rsid w:val="00F56B1F"/>
    <w:rsid w:val="00F769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hanging="720"/>
      <w:outlineLvl w:val="0"/>
    </w:pPr>
    <w:rPr>
      <w:b/>
      <w:sz w:val="22"/>
      <w:szCs w:val="22"/>
    </w:rPr>
  </w:style>
  <w:style w:type="paragraph" w:styleId="Heading2">
    <w:name w:val="heading 2"/>
    <w:basedOn w:val="Normal"/>
    <w:next w:val="Normal"/>
    <w:pPr>
      <w:keepNext/>
      <w:widowControl w:val="0"/>
      <w:tabs>
        <w:tab w:val="center" w:pos="4680"/>
        <w:tab w:val="left" w:pos="5040"/>
        <w:tab w:val="left" w:pos="5760"/>
        <w:tab w:val="left" w:pos="6480"/>
        <w:tab w:val="left" w:pos="7200"/>
        <w:tab w:val="left" w:pos="7920"/>
        <w:tab w:val="left" w:pos="8640"/>
        <w:tab w:val="left" w:pos="9360"/>
      </w:tabs>
      <w:jc w:val="center"/>
      <w:outlineLvl w:val="1"/>
    </w:pPr>
    <w:rPr>
      <w:b/>
      <w:sz w:val="22"/>
      <w:szCs w:val="22"/>
    </w:rPr>
  </w:style>
  <w:style w:type="paragraph" w:styleId="Heading3">
    <w:name w:val="heading 3"/>
    <w:basedOn w:val="Normal"/>
    <w:next w:val="Normal"/>
    <w:pPr>
      <w:keepNext/>
      <w:widowControl w:val="0"/>
      <w:tabs>
        <w:tab w:val="left" w:pos="4680"/>
      </w:tabs>
      <w:ind w:left="720"/>
      <w:jc w:val="center"/>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widowControl w:val="0"/>
      <w:tabs>
        <w:tab w:val="left" w:pos="4680"/>
      </w:tabs>
      <w:jc w:val="center"/>
      <w:outlineLvl w:val="4"/>
    </w:pPr>
    <w:rPr>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tabs>
        <w:tab w:val="left" w:pos="6480"/>
      </w:tabs>
      <w:jc w:val="right"/>
    </w:pPr>
    <w:rPr>
      <w:b/>
      <w:sz w:val="22"/>
      <w:szCs w:val="22"/>
    </w:rPr>
  </w:style>
  <w:style w:type="paragraph" w:styleId="BalloonText">
    <w:name w:val="Balloon Text"/>
    <w:basedOn w:val="Normal"/>
    <w:link w:val="BalloonTextChar"/>
    <w:uiPriority w:val="99"/>
    <w:semiHidden/>
    <w:unhideWhenUsed/>
    <w:rsid w:val="001A0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AA"/>
    <w:rPr>
      <w:rFonts w:ascii="Segoe UI" w:hAnsi="Segoe UI" w:cs="Segoe UI"/>
      <w:sz w:val="18"/>
      <w:szCs w:val="18"/>
    </w:rPr>
  </w:style>
  <w:style w:type="character" w:styleId="FootnoteReference">
    <w:name w:val="footnote reference"/>
    <w:basedOn w:val="DefaultParagraphFont"/>
    <w:semiHidden/>
    <w:rsid w:val="00215F3A"/>
    <w:rPr>
      <w:vertAlign w:val="superscript"/>
    </w:rPr>
  </w:style>
  <w:style w:type="paragraph" w:styleId="FootnoteText">
    <w:name w:val="footnote text"/>
    <w:aliases w:val="rrfootnote"/>
    <w:basedOn w:val="Normal"/>
    <w:link w:val="FootnoteTextChar"/>
    <w:autoRedefine/>
    <w:semiHidden/>
    <w:rsid w:val="00215F3A"/>
    <w:pPr>
      <w:widowControl w:val="0"/>
      <w:suppressAutoHyphens/>
      <w:autoSpaceDE w:val="0"/>
      <w:autoSpaceDN w:val="0"/>
      <w:adjustRightInd w:val="0"/>
      <w:spacing w:after="240"/>
    </w:pPr>
    <w:rPr>
      <w:spacing w:val="-2"/>
    </w:rPr>
  </w:style>
  <w:style w:type="character" w:customStyle="1" w:styleId="FootnoteTextChar">
    <w:name w:val="Footnote Text Char"/>
    <w:aliases w:val="rrfootnote Char"/>
    <w:basedOn w:val="DefaultParagraphFont"/>
    <w:link w:val="FootnoteText"/>
    <w:semiHidden/>
    <w:rsid w:val="00215F3A"/>
    <w:rPr>
      <w:spacing w:val="-2"/>
    </w:rPr>
  </w:style>
  <w:style w:type="character" w:styleId="Hyperlink">
    <w:name w:val="Hyperlink"/>
    <w:basedOn w:val="DefaultParagraphFont"/>
    <w:uiPriority w:val="99"/>
    <w:unhideWhenUsed/>
    <w:rsid w:val="008C1515"/>
    <w:rPr>
      <w:color w:val="0000FF" w:themeColor="hyperlink"/>
      <w:u w:val="single"/>
    </w:rPr>
  </w:style>
  <w:style w:type="character" w:customStyle="1" w:styleId="UnresolvedMention">
    <w:name w:val="Unresolved Mention"/>
    <w:basedOn w:val="DefaultParagraphFont"/>
    <w:uiPriority w:val="99"/>
    <w:semiHidden/>
    <w:unhideWhenUsed/>
    <w:rsid w:val="008C1515"/>
    <w:rPr>
      <w:color w:val="605E5C"/>
      <w:shd w:val="clear" w:color="auto" w:fill="E1DFDD"/>
    </w:rPr>
  </w:style>
  <w:style w:type="paragraph" w:styleId="Header">
    <w:name w:val="header"/>
    <w:basedOn w:val="Normal"/>
    <w:link w:val="HeaderChar"/>
    <w:rsid w:val="000B1F67"/>
    <w:pPr>
      <w:widowControl w:val="0"/>
      <w:tabs>
        <w:tab w:val="center" w:pos="4320"/>
        <w:tab w:val="right" w:pos="8640"/>
      </w:tabs>
    </w:pPr>
    <w:rPr>
      <w:snapToGrid w:val="0"/>
      <w:sz w:val="24"/>
    </w:rPr>
  </w:style>
  <w:style w:type="character" w:customStyle="1" w:styleId="HeaderChar">
    <w:name w:val="Header Char"/>
    <w:basedOn w:val="DefaultParagraphFont"/>
    <w:link w:val="Header"/>
    <w:rsid w:val="000B1F67"/>
    <w:rPr>
      <w:snapToGrid w:val="0"/>
      <w:sz w:val="24"/>
    </w:rPr>
  </w:style>
  <w:style w:type="paragraph" w:styleId="Footer">
    <w:name w:val="footer"/>
    <w:basedOn w:val="Normal"/>
    <w:link w:val="FooterChar"/>
    <w:uiPriority w:val="99"/>
    <w:unhideWhenUsed/>
    <w:rsid w:val="007250C4"/>
    <w:pPr>
      <w:tabs>
        <w:tab w:val="center" w:pos="4680"/>
        <w:tab w:val="right" w:pos="9360"/>
      </w:tabs>
    </w:pPr>
  </w:style>
  <w:style w:type="character" w:customStyle="1" w:styleId="FooterChar">
    <w:name w:val="Footer Char"/>
    <w:basedOn w:val="DefaultParagraphFont"/>
    <w:link w:val="Footer"/>
    <w:uiPriority w:val="99"/>
    <w:rsid w:val="007250C4"/>
  </w:style>
  <w:style w:type="paragraph" w:styleId="ListParagraph">
    <w:name w:val="List Paragraph"/>
    <w:basedOn w:val="Normal"/>
    <w:uiPriority w:val="34"/>
    <w:qFormat/>
    <w:rsid w:val="004C7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