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5C76" w:rsidRPr="007B5C76" w:rsidP="007B5C76">
      <w:pPr>
        <w:jc w:val="center"/>
        <w:rPr>
          <w:b/>
        </w:rPr>
      </w:pPr>
      <w:r w:rsidRPr="007B5C76">
        <w:rPr>
          <w:b/>
        </w:rPr>
        <w:t>STATEMENT OF</w:t>
      </w:r>
    </w:p>
    <w:p w:rsidR="007B5C76" w:rsidRPr="007B5C76" w:rsidP="0064086A">
      <w:pPr>
        <w:spacing w:after="240"/>
        <w:jc w:val="center"/>
        <w:rPr>
          <w:b/>
        </w:rPr>
      </w:pPr>
      <w:r w:rsidRPr="007B5C76">
        <w:rPr>
          <w:b/>
        </w:rPr>
        <w:t>COMMISSIONER GEOFFREY STARKS</w:t>
      </w:r>
    </w:p>
    <w:p w:rsidR="007B5C76" w:rsidRPr="007B5C76" w:rsidP="00765FE4">
      <w:pPr>
        <w:spacing w:after="120"/>
        <w:ind w:left="720" w:hanging="720"/>
        <w:rPr>
          <w:i/>
        </w:rPr>
      </w:pPr>
      <w:r w:rsidRPr="007B5C76">
        <w:t>Re:</w:t>
      </w:r>
      <w:r w:rsidRPr="007B5C76">
        <w:tab/>
      </w:r>
      <w:r>
        <w:rPr>
          <w:i/>
        </w:rPr>
        <w:t>Connect America Fund</w:t>
      </w:r>
      <w:r>
        <w:rPr>
          <w:iCs/>
        </w:rPr>
        <w:t xml:space="preserve">, WC Docket No. 10-90; </w:t>
      </w:r>
      <w:r>
        <w:rPr>
          <w:i/>
        </w:rPr>
        <w:t>Developing a Unified Intercarrier Compensation Regime</w:t>
      </w:r>
      <w:r>
        <w:rPr>
          <w:iCs/>
        </w:rPr>
        <w:t>, CC Docket No. 01-92.</w:t>
      </w:r>
    </w:p>
    <w:p w:rsidR="007B5C76" w:rsidRPr="007B5C76" w:rsidP="0064086A">
      <w:pPr>
        <w:spacing w:after="120"/>
        <w:ind w:firstLine="720"/>
      </w:pPr>
      <w:r w:rsidRPr="007B5C76">
        <w:t xml:space="preserve">Over the last decade, the FCC has taken numerous steps, including the 2011 Transformation Order, to update its rules to support the transition to IP-based networks. </w:t>
      </w:r>
      <w:r w:rsidR="00964F2A">
        <w:t xml:space="preserve"> </w:t>
      </w:r>
      <w:r w:rsidRPr="007B5C76">
        <w:t>During that time, we have repeatedly recognized that many of the technical distinctions in our rules are no longer relevant and may impede the IP transition.</w:t>
      </w:r>
      <w:r w:rsidR="00964F2A">
        <w:t xml:space="preserve"> </w:t>
      </w:r>
      <w:r w:rsidRPr="007B5C76">
        <w:t xml:space="preserve"> The 2015 Declaratory Ruling underlying today’s action was adopted to help ensure that those rule changes promoted and protected competition. </w:t>
      </w:r>
    </w:p>
    <w:p w:rsidR="007B5C76" w:rsidRPr="007B5C76" w:rsidP="007B5C76">
      <w:pPr>
        <w:ind w:firstLine="720"/>
      </w:pPr>
      <w:r w:rsidRPr="007B5C76">
        <w:t>While I recognize that the D</w:t>
      </w:r>
      <w:r w:rsidR="00964F2A">
        <w:t>.</w:t>
      </w:r>
      <w:r w:rsidRPr="007B5C76">
        <w:t>C</w:t>
      </w:r>
      <w:r w:rsidR="00964F2A">
        <w:t>.</w:t>
      </w:r>
      <w:r w:rsidRPr="007B5C76">
        <w:t xml:space="preserve"> Circuit’s decision narrowed</w:t>
      </w:r>
      <w:bookmarkStart w:id="0" w:name="_GoBack"/>
      <w:bookmarkEnd w:id="0"/>
      <w:r w:rsidRPr="007B5C76">
        <w:t xml:space="preserve"> our policy options, I have concerns about the approach the Commission has taken today. </w:t>
      </w:r>
      <w:r w:rsidR="00964F2A">
        <w:t xml:space="preserve"> </w:t>
      </w:r>
      <w:r w:rsidRPr="007B5C76">
        <w:t xml:space="preserve">To that end, I will concur.  Today’s decision purports to advance competition in the voice services market, but it is more likely to deter competition by disadvantaging over-the-top VoIP providers. </w:t>
      </w:r>
      <w:r w:rsidR="00964F2A">
        <w:t xml:space="preserve"> </w:t>
      </w:r>
      <w:r w:rsidRPr="007B5C76">
        <w:t xml:space="preserve">In many recent decisions, the Commission has proceeded as if our work to promote competition is done.  The facts on the ground make clear that isn’t true.  We must continue to support competitive choices that promote better service and lower prices for American consumers.  </w:t>
      </w:r>
    </w:p>
    <w:p w:rsidR="007B5C76" w:rsidRPr="007B5C76" w:rsidP="007B5C76"/>
    <w:p w:rsidR="00412FC5" w:rsidRPr="00E741BF" w:rsidP="00E741BF"/>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0546BD">
      <w:rPr>
        <w:spacing w:val="-2"/>
      </w:rPr>
      <w:t>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546BD"/>
    <w:rsid w:val="000875BF"/>
    <w:rsid w:val="00092CB2"/>
    <w:rsid w:val="00096D8C"/>
    <w:rsid w:val="000C0B65"/>
    <w:rsid w:val="000E05FE"/>
    <w:rsid w:val="000E3D42"/>
    <w:rsid w:val="00122BD5"/>
    <w:rsid w:val="00133F79"/>
    <w:rsid w:val="001547E1"/>
    <w:rsid w:val="00194A66"/>
    <w:rsid w:val="001D6BCF"/>
    <w:rsid w:val="001E01CA"/>
    <w:rsid w:val="00210C07"/>
    <w:rsid w:val="00275CF5"/>
    <w:rsid w:val="0028301F"/>
    <w:rsid w:val="00285017"/>
    <w:rsid w:val="002A2D2E"/>
    <w:rsid w:val="002C00E8"/>
    <w:rsid w:val="002C0A9D"/>
    <w:rsid w:val="002D1A23"/>
    <w:rsid w:val="00330C99"/>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4086A"/>
    <w:rsid w:val="00655D03"/>
    <w:rsid w:val="00683388"/>
    <w:rsid w:val="00683F84"/>
    <w:rsid w:val="006A6A81"/>
    <w:rsid w:val="006F7393"/>
    <w:rsid w:val="0070224F"/>
    <w:rsid w:val="007115F7"/>
    <w:rsid w:val="00765FE4"/>
    <w:rsid w:val="00785689"/>
    <w:rsid w:val="0079754B"/>
    <w:rsid w:val="007A1E6D"/>
    <w:rsid w:val="007B0EB2"/>
    <w:rsid w:val="007B5C76"/>
    <w:rsid w:val="00810B6F"/>
    <w:rsid w:val="00822CE0"/>
    <w:rsid w:val="00841AB1"/>
    <w:rsid w:val="008C68F1"/>
    <w:rsid w:val="00921803"/>
    <w:rsid w:val="00926503"/>
    <w:rsid w:val="00964F2A"/>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76"/>
    <w:pPr>
      <w:widowControl w:val="0"/>
    </w:pPr>
    <w:rPr>
      <w:snapToGrid w:val="0"/>
      <w:kern w:val="28"/>
      <w:sz w:val="22"/>
    </w:rPr>
  </w:style>
  <w:style w:type="paragraph" w:styleId="Heading1">
    <w:name w:val="heading 1"/>
    <w:basedOn w:val="Normal"/>
    <w:next w:val="ParaNum"/>
    <w:qFormat/>
    <w:rsid w:val="007B5C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B5C76"/>
    <w:pPr>
      <w:keepNext/>
      <w:numPr>
        <w:ilvl w:val="1"/>
        <w:numId w:val="3"/>
      </w:numPr>
      <w:spacing w:after="120"/>
      <w:outlineLvl w:val="1"/>
    </w:pPr>
    <w:rPr>
      <w:b/>
    </w:rPr>
  </w:style>
  <w:style w:type="paragraph" w:styleId="Heading3">
    <w:name w:val="heading 3"/>
    <w:basedOn w:val="Normal"/>
    <w:next w:val="ParaNum"/>
    <w:qFormat/>
    <w:rsid w:val="007B5C76"/>
    <w:pPr>
      <w:keepNext/>
      <w:numPr>
        <w:ilvl w:val="2"/>
        <w:numId w:val="3"/>
      </w:numPr>
      <w:tabs>
        <w:tab w:val="left" w:pos="2160"/>
      </w:tabs>
      <w:spacing w:after="120"/>
      <w:outlineLvl w:val="2"/>
    </w:pPr>
    <w:rPr>
      <w:b/>
    </w:rPr>
  </w:style>
  <w:style w:type="paragraph" w:styleId="Heading4">
    <w:name w:val="heading 4"/>
    <w:basedOn w:val="Normal"/>
    <w:next w:val="ParaNum"/>
    <w:qFormat/>
    <w:rsid w:val="007B5C76"/>
    <w:pPr>
      <w:keepNext/>
      <w:numPr>
        <w:ilvl w:val="3"/>
        <w:numId w:val="3"/>
      </w:numPr>
      <w:tabs>
        <w:tab w:val="left" w:pos="2880"/>
      </w:tabs>
      <w:spacing w:after="120"/>
      <w:outlineLvl w:val="3"/>
    </w:pPr>
    <w:rPr>
      <w:b/>
    </w:rPr>
  </w:style>
  <w:style w:type="paragraph" w:styleId="Heading5">
    <w:name w:val="heading 5"/>
    <w:basedOn w:val="Normal"/>
    <w:next w:val="ParaNum"/>
    <w:qFormat/>
    <w:rsid w:val="007B5C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B5C76"/>
    <w:pPr>
      <w:numPr>
        <w:ilvl w:val="5"/>
        <w:numId w:val="3"/>
      </w:numPr>
      <w:tabs>
        <w:tab w:val="left" w:pos="4320"/>
      </w:tabs>
      <w:spacing w:after="120"/>
      <w:outlineLvl w:val="5"/>
    </w:pPr>
    <w:rPr>
      <w:b/>
    </w:rPr>
  </w:style>
  <w:style w:type="paragraph" w:styleId="Heading7">
    <w:name w:val="heading 7"/>
    <w:basedOn w:val="Normal"/>
    <w:next w:val="ParaNum"/>
    <w:qFormat/>
    <w:rsid w:val="007B5C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5C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5C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7B5C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C76"/>
  </w:style>
  <w:style w:type="paragraph" w:customStyle="1" w:styleId="ParaNum">
    <w:name w:val="ParaNum"/>
    <w:basedOn w:val="Normal"/>
    <w:rsid w:val="007B5C76"/>
    <w:pPr>
      <w:numPr>
        <w:numId w:val="2"/>
      </w:numPr>
      <w:tabs>
        <w:tab w:val="clear" w:pos="1080"/>
        <w:tab w:val="num" w:pos="1440"/>
      </w:tabs>
      <w:spacing w:after="120"/>
    </w:pPr>
  </w:style>
  <w:style w:type="paragraph" w:styleId="EndnoteText">
    <w:name w:val="endnote text"/>
    <w:basedOn w:val="Normal"/>
    <w:semiHidden/>
    <w:rsid w:val="007B5C76"/>
    <w:rPr>
      <w:sz w:val="20"/>
    </w:rPr>
  </w:style>
  <w:style w:type="character" w:styleId="EndnoteReference">
    <w:name w:val="endnote reference"/>
    <w:semiHidden/>
    <w:rsid w:val="007B5C76"/>
    <w:rPr>
      <w:vertAlign w:val="superscript"/>
    </w:rPr>
  </w:style>
  <w:style w:type="paragraph" w:styleId="FootnoteText">
    <w:name w:val="footnote text"/>
    <w:rsid w:val="007B5C76"/>
    <w:pPr>
      <w:spacing w:after="120"/>
    </w:pPr>
  </w:style>
  <w:style w:type="character" w:styleId="FootnoteReference">
    <w:name w:val="footnote reference"/>
    <w:rsid w:val="007B5C76"/>
    <w:rPr>
      <w:rFonts w:ascii="Times New Roman" w:hAnsi="Times New Roman"/>
      <w:dstrike w:val="0"/>
      <w:color w:val="auto"/>
      <w:sz w:val="20"/>
      <w:vertAlign w:val="superscript"/>
    </w:rPr>
  </w:style>
  <w:style w:type="paragraph" w:styleId="TOC1">
    <w:name w:val="toc 1"/>
    <w:basedOn w:val="Normal"/>
    <w:next w:val="Normal"/>
    <w:semiHidden/>
    <w:rsid w:val="007B5C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5C76"/>
    <w:pPr>
      <w:tabs>
        <w:tab w:val="left" w:pos="720"/>
        <w:tab w:val="right" w:leader="dot" w:pos="9360"/>
      </w:tabs>
      <w:suppressAutoHyphens/>
      <w:ind w:left="720" w:right="720" w:hanging="360"/>
    </w:pPr>
    <w:rPr>
      <w:noProof/>
    </w:rPr>
  </w:style>
  <w:style w:type="paragraph" w:styleId="TOC3">
    <w:name w:val="toc 3"/>
    <w:basedOn w:val="Normal"/>
    <w:next w:val="Normal"/>
    <w:semiHidden/>
    <w:rsid w:val="007B5C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5C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5C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5C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5C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5C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5C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5C76"/>
    <w:pPr>
      <w:tabs>
        <w:tab w:val="right" w:pos="9360"/>
      </w:tabs>
      <w:suppressAutoHyphens/>
    </w:pPr>
  </w:style>
  <w:style w:type="character" w:customStyle="1" w:styleId="EquationCaption">
    <w:name w:val="_Equation Caption"/>
    <w:rsid w:val="007B5C76"/>
  </w:style>
  <w:style w:type="paragraph" w:styleId="Header">
    <w:name w:val="header"/>
    <w:basedOn w:val="Normal"/>
    <w:autoRedefine/>
    <w:rsid w:val="007B5C76"/>
    <w:pPr>
      <w:tabs>
        <w:tab w:val="center" w:pos="4680"/>
        <w:tab w:val="right" w:pos="9360"/>
      </w:tabs>
    </w:pPr>
    <w:rPr>
      <w:b/>
    </w:rPr>
  </w:style>
  <w:style w:type="paragraph" w:styleId="Footer">
    <w:name w:val="footer"/>
    <w:basedOn w:val="Normal"/>
    <w:link w:val="FooterChar"/>
    <w:uiPriority w:val="99"/>
    <w:rsid w:val="007B5C76"/>
    <w:pPr>
      <w:tabs>
        <w:tab w:val="center" w:pos="4320"/>
        <w:tab w:val="right" w:pos="8640"/>
      </w:tabs>
    </w:pPr>
  </w:style>
  <w:style w:type="character" w:styleId="PageNumber">
    <w:name w:val="page number"/>
    <w:basedOn w:val="DefaultParagraphFont"/>
    <w:rsid w:val="007B5C76"/>
  </w:style>
  <w:style w:type="paragraph" w:styleId="BlockText">
    <w:name w:val="Block Text"/>
    <w:basedOn w:val="Normal"/>
    <w:rsid w:val="007B5C76"/>
    <w:pPr>
      <w:spacing w:after="240"/>
      <w:ind w:left="1440" w:right="1440"/>
    </w:pPr>
  </w:style>
  <w:style w:type="paragraph" w:customStyle="1" w:styleId="Paratitle">
    <w:name w:val="Para title"/>
    <w:basedOn w:val="Normal"/>
    <w:rsid w:val="007B5C76"/>
    <w:pPr>
      <w:tabs>
        <w:tab w:val="center" w:pos="9270"/>
      </w:tabs>
      <w:spacing w:after="240"/>
    </w:pPr>
    <w:rPr>
      <w:spacing w:val="-2"/>
    </w:rPr>
  </w:style>
  <w:style w:type="paragraph" w:customStyle="1" w:styleId="Bullet">
    <w:name w:val="Bullet"/>
    <w:basedOn w:val="Normal"/>
    <w:rsid w:val="007B5C76"/>
    <w:pPr>
      <w:tabs>
        <w:tab w:val="left" w:pos="2160"/>
      </w:tabs>
      <w:spacing w:after="220"/>
      <w:ind w:left="2160" w:hanging="720"/>
    </w:pPr>
  </w:style>
  <w:style w:type="paragraph" w:customStyle="1" w:styleId="TableFormat">
    <w:name w:val="TableFormat"/>
    <w:basedOn w:val="Bullet"/>
    <w:rsid w:val="007B5C76"/>
    <w:pPr>
      <w:tabs>
        <w:tab w:val="clear" w:pos="2160"/>
        <w:tab w:val="left" w:pos="5040"/>
      </w:tabs>
      <w:ind w:left="5040" w:hanging="3600"/>
    </w:pPr>
  </w:style>
  <w:style w:type="paragraph" w:customStyle="1" w:styleId="TOCTitle">
    <w:name w:val="TOC Title"/>
    <w:basedOn w:val="Normal"/>
    <w:rsid w:val="007B5C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5C76"/>
    <w:pPr>
      <w:jc w:val="center"/>
    </w:pPr>
    <w:rPr>
      <w:rFonts w:ascii="Times New Roman Bold" w:hAnsi="Times New Roman Bold"/>
      <w:b/>
      <w:bCs/>
      <w:caps/>
      <w:szCs w:val="22"/>
    </w:rPr>
  </w:style>
  <w:style w:type="character" w:styleId="Hyperlink">
    <w:name w:val="Hyperlink"/>
    <w:rsid w:val="007B5C76"/>
    <w:rPr>
      <w:color w:val="0000FF"/>
      <w:u w:val="single"/>
    </w:rPr>
  </w:style>
  <w:style w:type="character" w:customStyle="1" w:styleId="FooterChar">
    <w:name w:val="Footer Char"/>
    <w:link w:val="Footer"/>
    <w:uiPriority w:val="99"/>
    <w:rsid w:val="007B5C7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