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2E4E22" w:rsidRPr="000A5690" w:rsidP="002E4E22">
      <w:pPr>
        <w:jc w:val="center"/>
        <w:rPr>
          <w:b/>
          <w:szCs w:val="22"/>
        </w:rPr>
      </w:pPr>
      <w:r w:rsidRPr="000A5690">
        <w:rPr>
          <w:b/>
          <w:szCs w:val="22"/>
        </w:rPr>
        <w:t>STATEMENT OF</w:t>
      </w:r>
      <w:r w:rsidRPr="000A5690">
        <w:rPr>
          <w:b/>
          <w:szCs w:val="22"/>
        </w:rPr>
        <w:br/>
        <w:t>COMMISSIONER JESSICA ROSENWORCEL</w:t>
      </w:r>
    </w:p>
    <w:p w:rsidR="002E4E22" w:rsidRPr="000A5690" w:rsidP="002E4E22">
      <w:pPr>
        <w:rPr>
          <w:b/>
          <w:szCs w:val="22"/>
        </w:rPr>
      </w:pPr>
    </w:p>
    <w:p w:rsidR="002E4E22" w:rsidRPr="000A5690" w:rsidP="002E4E22">
      <w:pPr>
        <w:rPr>
          <w:b/>
          <w:szCs w:val="22"/>
        </w:rPr>
      </w:pPr>
      <w:r w:rsidRPr="000A5690">
        <w:rPr>
          <w:b/>
          <w:szCs w:val="22"/>
        </w:rPr>
        <w:t>Re:</w:t>
      </w:r>
      <w:r w:rsidRPr="000A5690">
        <w:rPr>
          <w:b/>
          <w:szCs w:val="22"/>
        </w:rPr>
        <w:tab/>
      </w:r>
      <w:r w:rsidRPr="000A5690">
        <w:rPr>
          <w:b/>
          <w:i/>
          <w:szCs w:val="22"/>
        </w:rPr>
        <w:t>Kenneth Moser dba Marketing Support Systems</w:t>
      </w:r>
      <w:r w:rsidRPr="000A5690">
        <w:rPr>
          <w:b/>
          <w:szCs w:val="22"/>
        </w:rPr>
        <w:t xml:space="preserve">, File No.: EB-TCD-00028267, Notice of </w:t>
      </w:r>
    </w:p>
    <w:p w:rsidR="002E4E22" w:rsidRPr="000A5690" w:rsidP="002E4E22">
      <w:pPr>
        <w:ind w:firstLine="720"/>
        <w:rPr>
          <w:b/>
          <w:szCs w:val="22"/>
        </w:rPr>
      </w:pPr>
      <w:r w:rsidRPr="000A5690">
        <w:rPr>
          <w:b/>
          <w:szCs w:val="22"/>
        </w:rPr>
        <w:t>Apparent Liability for Forfeiture (December 12, 2019)</w:t>
      </w:r>
    </w:p>
    <w:p w:rsidR="002E4E22" w:rsidRPr="000A5690" w:rsidP="002E4E22">
      <w:pPr>
        <w:ind w:firstLine="720"/>
        <w:rPr>
          <w:szCs w:val="22"/>
        </w:rPr>
      </w:pPr>
    </w:p>
    <w:p w:rsidR="0023078F" w:rsidRPr="000A5690" w:rsidP="000A5690">
      <w:pPr>
        <w:spacing w:after="120"/>
        <w:ind w:firstLine="720"/>
        <w:rPr>
          <w:szCs w:val="22"/>
        </w:rPr>
      </w:pPr>
      <w:r w:rsidRPr="000A5690">
        <w:rPr>
          <w:szCs w:val="22"/>
        </w:rPr>
        <w:t>The phone rings.  On the line is someone offering a fabulous cruise or a once-in-a</w:t>
      </w:r>
      <w:r w:rsidRPr="000A5690">
        <w:rPr>
          <w:szCs w:val="22"/>
        </w:rPr>
        <w:t xml:space="preserve">-lifetime investment opportunity.  Or maybe it’s an agent from the Internal Revenue Service with the threatening news of an imminent lawsuit.  They’re robocalls.  And they are totally out of control.  </w:t>
      </w:r>
    </w:p>
    <w:p w:rsidR="00892C11" w:rsidRPr="000A5690" w:rsidP="000A5690">
      <w:pPr>
        <w:spacing w:after="120"/>
        <w:ind w:firstLine="720"/>
        <w:rPr>
          <w:szCs w:val="22"/>
        </w:rPr>
      </w:pPr>
      <w:r w:rsidRPr="000A5690">
        <w:rPr>
          <w:szCs w:val="22"/>
        </w:rPr>
        <w:t xml:space="preserve">At the start of this Administration, consumers received roughly 2 billion robocalls a month.  They now average between 5 and 6 billion a month.  </w:t>
      </w:r>
      <w:r w:rsidRPr="000A5690">
        <w:rPr>
          <w:szCs w:val="22"/>
        </w:rPr>
        <w:t>This is crazy</w:t>
      </w:r>
      <w:r w:rsidRPr="000A5690" w:rsidR="00C6694F">
        <w:rPr>
          <w:szCs w:val="22"/>
        </w:rPr>
        <w:t xml:space="preserve">.  Whatever we are doing to stem the tide of these calls is simply not working.  </w:t>
      </w:r>
      <w:r w:rsidRPr="000A5690" w:rsidR="00EC00D2">
        <w:rPr>
          <w:szCs w:val="22"/>
        </w:rPr>
        <w:t xml:space="preserve">Those numbers show with perfect clarity we need to do more.  </w:t>
      </w:r>
    </w:p>
    <w:p w:rsidR="00872B46" w:rsidRPr="000A5690" w:rsidP="000A5690">
      <w:pPr>
        <w:spacing w:after="120"/>
        <w:ind w:firstLine="720"/>
        <w:rPr>
          <w:szCs w:val="22"/>
        </w:rPr>
      </w:pPr>
      <w:r w:rsidRPr="000A5690">
        <w:rPr>
          <w:szCs w:val="22"/>
        </w:rPr>
        <w:t>It is against this background that today the</w:t>
      </w:r>
      <w:r w:rsidRPr="000A5690" w:rsidR="00892C11">
        <w:rPr>
          <w:szCs w:val="22"/>
        </w:rPr>
        <w:t xml:space="preserve"> Federal Communications Commission </w:t>
      </w:r>
      <w:r w:rsidRPr="000A5690">
        <w:rPr>
          <w:szCs w:val="22"/>
        </w:rPr>
        <w:t xml:space="preserve">seeks </w:t>
      </w:r>
      <w:r w:rsidRPr="000A5690" w:rsidR="00892C11">
        <w:rPr>
          <w:szCs w:val="22"/>
        </w:rPr>
        <w:t xml:space="preserve">to enforce its rules </w:t>
      </w:r>
      <w:r w:rsidRPr="000A5690">
        <w:rPr>
          <w:szCs w:val="22"/>
        </w:rPr>
        <w:t>and help stop th</w:t>
      </w:r>
      <w:r w:rsidRPr="000A5690" w:rsidR="00EC00D2">
        <w:rPr>
          <w:szCs w:val="22"/>
        </w:rPr>
        <w:t>e</w:t>
      </w:r>
      <w:r w:rsidRPr="000A5690">
        <w:rPr>
          <w:szCs w:val="22"/>
        </w:rPr>
        <w:t xml:space="preserve"> deluge of</w:t>
      </w:r>
      <w:r w:rsidRPr="000A5690" w:rsidR="00892C11">
        <w:rPr>
          <w:szCs w:val="22"/>
        </w:rPr>
        <w:t xml:space="preserve"> robocalls.  </w:t>
      </w:r>
      <w:r w:rsidRPr="000A5690">
        <w:rPr>
          <w:szCs w:val="22"/>
        </w:rPr>
        <w:t>In the instant decision, we</w:t>
      </w:r>
      <w:r w:rsidRPr="000A5690" w:rsidR="00892C11">
        <w:rPr>
          <w:szCs w:val="22"/>
        </w:rPr>
        <w:t xml:space="preserve"> have a</w:t>
      </w:r>
      <w:r w:rsidRPr="000A5690" w:rsidR="0086311F">
        <w:rPr>
          <w:szCs w:val="22"/>
        </w:rPr>
        <w:t xml:space="preserve"> particularly ugly set of</w:t>
      </w:r>
      <w:r w:rsidRPr="000A5690" w:rsidR="00892C11">
        <w:rPr>
          <w:szCs w:val="22"/>
        </w:rPr>
        <w:t xml:space="preserve"> facts.  Kenneth Moser was a </w:t>
      </w:r>
      <w:r w:rsidRPr="000A5690" w:rsidR="0086311F">
        <w:rPr>
          <w:szCs w:val="22"/>
        </w:rPr>
        <w:t xml:space="preserve">telemarketer who launched an extensive robocalling campaign.  It spoofed the number of his business rival and sent out calls featuring allegations of sexual assault involving a political candidate.  </w:t>
      </w:r>
    </w:p>
    <w:p w:rsidR="002961A1" w:rsidRPr="000A5690" w:rsidP="000A5690">
      <w:pPr>
        <w:spacing w:after="120"/>
        <w:ind w:firstLine="720"/>
        <w:rPr>
          <w:szCs w:val="22"/>
        </w:rPr>
      </w:pPr>
      <w:r w:rsidRPr="000A5690">
        <w:rPr>
          <w:szCs w:val="22"/>
        </w:rPr>
        <w:t>In response, we</w:t>
      </w:r>
      <w:r w:rsidRPr="000A5690" w:rsidR="00EC00D2">
        <w:rPr>
          <w:szCs w:val="22"/>
        </w:rPr>
        <w:t xml:space="preserve"> </w:t>
      </w:r>
      <w:r w:rsidRPr="000A5690">
        <w:rPr>
          <w:szCs w:val="22"/>
        </w:rPr>
        <w:t xml:space="preserve">propose a $9.99 million fine </w:t>
      </w:r>
      <w:r w:rsidRPr="000A5690" w:rsidR="00EC00D2">
        <w:rPr>
          <w:szCs w:val="22"/>
        </w:rPr>
        <w:t xml:space="preserve">to penalize him for </w:t>
      </w:r>
      <w:r w:rsidRPr="000A5690">
        <w:rPr>
          <w:szCs w:val="22"/>
        </w:rPr>
        <w:t>t</w:t>
      </w:r>
      <w:r w:rsidRPr="000A5690" w:rsidR="00EC00D2">
        <w:rPr>
          <w:szCs w:val="22"/>
        </w:rPr>
        <w:t xml:space="preserve">his robocalling because it </w:t>
      </w:r>
      <w:r w:rsidRPr="000A5690">
        <w:rPr>
          <w:szCs w:val="22"/>
        </w:rPr>
        <w:t>violat</w:t>
      </w:r>
      <w:r w:rsidRPr="000A5690" w:rsidR="00EC00D2">
        <w:rPr>
          <w:szCs w:val="22"/>
        </w:rPr>
        <w:t xml:space="preserve">es </w:t>
      </w:r>
      <w:r w:rsidRPr="000A5690">
        <w:rPr>
          <w:szCs w:val="22"/>
        </w:rPr>
        <w:t xml:space="preserve">the law.  This is good because enforcement </w:t>
      </w:r>
      <w:r w:rsidRPr="000A5690">
        <w:rPr>
          <w:szCs w:val="22"/>
        </w:rPr>
        <w:t xml:space="preserve">or our rules designed to prevent robocalls </w:t>
      </w:r>
      <w:r w:rsidRPr="000A5690">
        <w:rPr>
          <w:szCs w:val="22"/>
        </w:rPr>
        <w:t>matter</w:t>
      </w:r>
      <w:r w:rsidRPr="000A5690">
        <w:rPr>
          <w:szCs w:val="22"/>
        </w:rPr>
        <w:t>s</w:t>
      </w:r>
      <w:r w:rsidRPr="000A5690">
        <w:rPr>
          <w:szCs w:val="22"/>
        </w:rPr>
        <w:t>.</w:t>
      </w:r>
    </w:p>
    <w:p w:rsidR="002961A1" w:rsidRPr="000A5690" w:rsidP="000A5690">
      <w:pPr>
        <w:spacing w:after="120"/>
        <w:ind w:firstLine="720"/>
        <w:rPr>
          <w:szCs w:val="22"/>
        </w:rPr>
      </w:pPr>
      <w:r w:rsidRPr="000A5690">
        <w:rPr>
          <w:szCs w:val="22"/>
        </w:rPr>
        <w:t xml:space="preserve">But it is not enough.  Because </w:t>
      </w:r>
      <w:r w:rsidRPr="000A5690" w:rsidR="00EC00D2">
        <w:rPr>
          <w:szCs w:val="22"/>
        </w:rPr>
        <w:t>everyone</w:t>
      </w:r>
      <w:r w:rsidRPr="000A5690">
        <w:rPr>
          <w:szCs w:val="22"/>
        </w:rPr>
        <w:t xml:space="preserve"> should save the accolades for when we crush these calls </w:t>
      </w:r>
      <w:r w:rsidRPr="000A5690">
        <w:rPr>
          <w:i/>
          <w:szCs w:val="22"/>
        </w:rPr>
        <w:t>and collect</w:t>
      </w:r>
      <w:r w:rsidRPr="000A5690">
        <w:rPr>
          <w:szCs w:val="22"/>
        </w:rPr>
        <w:t xml:space="preserve">.  And on that score, we have work to do.  Earlier this year, </w:t>
      </w:r>
      <w:r w:rsidRPr="000A5690">
        <w:rPr>
          <w:i/>
          <w:szCs w:val="22"/>
        </w:rPr>
        <w:t xml:space="preserve">The Wall Street Journal </w:t>
      </w:r>
      <w:r w:rsidRPr="000A5690">
        <w:rPr>
          <w:szCs w:val="22"/>
        </w:rPr>
        <w:t xml:space="preserve">found that of the over $208 million in fines this agency had assessed on those responsible for robocalls, it had collected—wait for it—just $6,790.  That’s embarrassing.  </w:t>
      </w:r>
    </w:p>
    <w:p w:rsidR="00EC00D2" w:rsidRPr="000A5690" w:rsidP="000A5690">
      <w:pPr>
        <w:spacing w:after="120"/>
        <w:ind w:firstLine="720"/>
        <w:rPr>
          <w:szCs w:val="22"/>
        </w:rPr>
      </w:pPr>
      <w:r w:rsidRPr="000A5690">
        <w:rPr>
          <w:szCs w:val="22"/>
        </w:rPr>
        <w:t>In fact, it has gotten so bad that Congress has stepped in with legislative efforts to improve coordination across the government and make it possible for this agency to collect</w:t>
      </w:r>
      <w:r w:rsidRPr="000A5690">
        <w:rPr>
          <w:szCs w:val="22"/>
        </w:rPr>
        <w:t xml:space="preserve"> on its enforcement fines</w:t>
      </w:r>
      <w:r w:rsidRPr="000A5690">
        <w:rPr>
          <w:szCs w:val="22"/>
        </w:rPr>
        <w:t xml:space="preserve">.  We need it.  Because without it our </w:t>
      </w:r>
      <w:r w:rsidRPr="000A5690" w:rsidR="00C6694F">
        <w:rPr>
          <w:szCs w:val="22"/>
        </w:rPr>
        <w:t xml:space="preserve">action today is not </w:t>
      </w:r>
      <w:r w:rsidRPr="000A5690" w:rsidR="007E394A">
        <w:rPr>
          <w:szCs w:val="22"/>
        </w:rPr>
        <w:t xml:space="preserve">especially </w:t>
      </w:r>
      <w:r w:rsidRPr="000A5690">
        <w:rPr>
          <w:szCs w:val="22"/>
        </w:rPr>
        <w:t>meaningful and</w:t>
      </w:r>
      <w:r w:rsidRPr="000A5690" w:rsidR="007E394A">
        <w:rPr>
          <w:szCs w:val="22"/>
        </w:rPr>
        <w:t xml:space="preserve">—let’s be honest—will </w:t>
      </w:r>
      <w:r w:rsidRPr="000A5690">
        <w:rPr>
          <w:szCs w:val="22"/>
        </w:rPr>
        <w:t xml:space="preserve">not stop these nuisance calls from continuing to grow.  </w:t>
      </w:r>
      <w:bookmarkStart w:id="0" w:name="_GoBack"/>
      <w:bookmarkEnd w:id="0"/>
    </w:p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6D63" w:rsidP="006A6D63">
    <w:pPr>
      <w:pStyle w:val="Header"/>
      <w:rPr>
        <w:b w:val="0"/>
      </w:rPr>
    </w:pPr>
    <w:r>
      <w:tab/>
      <w:t>Federal Communications Commission</w:t>
    </w:r>
    <w:r>
      <w:tab/>
      <w:t>FCC 19-135</w:t>
    </w:r>
  </w:p>
  <w:p w:rsidR="006A6D63" w:rsidRPr="006A6D63" w:rsidP="006A6D63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22"/>
    <w:rsid w:val="000A5690"/>
    <w:rsid w:val="00125543"/>
    <w:rsid w:val="0023078F"/>
    <w:rsid w:val="002961A1"/>
    <w:rsid w:val="002C77ED"/>
    <w:rsid w:val="002E4E22"/>
    <w:rsid w:val="00573CE9"/>
    <w:rsid w:val="005E2A57"/>
    <w:rsid w:val="00667F91"/>
    <w:rsid w:val="006A6D63"/>
    <w:rsid w:val="007E394A"/>
    <w:rsid w:val="0086311F"/>
    <w:rsid w:val="00872B46"/>
    <w:rsid w:val="00892C11"/>
    <w:rsid w:val="00C6694F"/>
    <w:rsid w:val="00D15567"/>
    <w:rsid w:val="00D641D3"/>
    <w:rsid w:val="00E00835"/>
    <w:rsid w:val="00E32B6D"/>
    <w:rsid w:val="00EC00D2"/>
    <w:rsid w:val="00EC21C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FFA54F7-3F1E-4B1D-A1E9-0D8B78CF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69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0A5690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0A5690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0A5690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0A5690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0A5690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0A5690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0A5690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0A5690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0A5690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0A569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A5690"/>
  </w:style>
  <w:style w:type="character" w:customStyle="1" w:styleId="Heading1Char">
    <w:name w:val="Heading 1 Char"/>
    <w:basedOn w:val="DefaultParagraphFont"/>
    <w:link w:val="Heading1"/>
    <w:rsid w:val="006A6D63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6A6D6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6A6D6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6A6D6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6A6D6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6A6D6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6A6D6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6A6D6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6A6D6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0A5690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0A5690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6A6D63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0A5690"/>
    <w:rPr>
      <w:vertAlign w:val="superscript"/>
    </w:rPr>
  </w:style>
  <w:style w:type="paragraph" w:styleId="FootnoteText">
    <w:name w:val="footnote text"/>
    <w:link w:val="FootnoteTextChar"/>
    <w:rsid w:val="000A56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6D6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0A5690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0A5690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0A5690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0A5690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0A5690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0A5690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0A5690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0A5690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0A5690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0A5690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0A5690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0A5690"/>
  </w:style>
  <w:style w:type="paragraph" w:styleId="Header">
    <w:name w:val="header"/>
    <w:basedOn w:val="Normal"/>
    <w:link w:val="HeaderChar"/>
    <w:autoRedefine/>
    <w:rsid w:val="000A5690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6A6D6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0A56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6D63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styleId="PageNumber">
    <w:name w:val="page number"/>
    <w:basedOn w:val="DefaultParagraphFont"/>
    <w:rsid w:val="000A5690"/>
  </w:style>
  <w:style w:type="paragraph" w:styleId="BlockText">
    <w:name w:val="Block Text"/>
    <w:basedOn w:val="Normal"/>
    <w:rsid w:val="000A5690"/>
    <w:pPr>
      <w:spacing w:after="240"/>
      <w:ind w:left="1440" w:right="1440"/>
    </w:pPr>
  </w:style>
  <w:style w:type="paragraph" w:customStyle="1" w:styleId="Paratitle">
    <w:name w:val="Para title"/>
    <w:basedOn w:val="Normal"/>
    <w:rsid w:val="000A5690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0A5690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0A5690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0A5690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A5690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0A5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