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60228B" w:rsidRPr="007443FC">
      <w:pPr>
        <w:jc w:val="center"/>
        <w:rPr>
          <w:b/>
          <w:szCs w:val="22"/>
        </w:rPr>
      </w:pPr>
      <w:bookmarkStart w:id="0" w:name="_GoBack"/>
      <w:bookmarkEnd w:id="0"/>
      <w:r w:rsidRPr="007443FC">
        <w:rPr>
          <w:b/>
          <w:szCs w:val="22"/>
        </w:rPr>
        <w:t>Before the</w:t>
      </w:r>
    </w:p>
    <w:p w:rsidR="0060228B" w:rsidRPr="007443FC">
      <w:pPr>
        <w:jc w:val="center"/>
        <w:rPr>
          <w:b/>
          <w:szCs w:val="22"/>
        </w:rPr>
      </w:pPr>
      <w:r w:rsidRPr="007443FC">
        <w:rPr>
          <w:b/>
          <w:szCs w:val="22"/>
        </w:rPr>
        <w:t>Federal Communications Commission</w:t>
      </w:r>
    </w:p>
    <w:p w:rsidR="0060228B" w:rsidRPr="007443FC">
      <w:pPr>
        <w:jc w:val="center"/>
        <w:rPr>
          <w:b/>
          <w:szCs w:val="22"/>
        </w:rPr>
      </w:pPr>
      <w:r w:rsidRPr="007443FC">
        <w:rPr>
          <w:b/>
          <w:szCs w:val="22"/>
        </w:rPr>
        <w:t>Washington, D.C. 20554</w:t>
      </w:r>
    </w:p>
    <w:p w:rsidR="0060228B" w:rsidRPr="007443FC">
      <w:pPr>
        <w:rPr>
          <w:szCs w:val="22"/>
        </w:rPr>
      </w:pPr>
    </w:p>
    <w:p w:rsidR="0060228B" w:rsidRPr="007443FC">
      <w:pPr>
        <w:rPr>
          <w:szCs w:val="22"/>
        </w:rPr>
      </w:pPr>
    </w:p>
    <w:tbl>
      <w:tblPr>
        <w:tblW w:w="9576" w:type="dxa"/>
        <w:tblInd w:w="-108" w:type="dxa"/>
        <w:tblLayout w:type="fixed"/>
        <w:tblLook w:val="0000"/>
      </w:tblPr>
      <w:tblGrid>
        <w:gridCol w:w="4698"/>
        <w:gridCol w:w="630"/>
        <w:gridCol w:w="4248"/>
      </w:tblGrid>
      <w:tr w:rsidTr="005C02BC">
        <w:tblPrEx>
          <w:tblW w:w="9576" w:type="dxa"/>
          <w:tblInd w:w="-108" w:type="dxa"/>
          <w:tblLayout w:type="fixed"/>
          <w:tblLook w:val="0000"/>
        </w:tblPrEx>
        <w:tc>
          <w:tcPr>
            <w:tcW w:w="4698" w:type="dxa"/>
          </w:tcPr>
          <w:p w:rsidR="005C02BC" w:rsidRPr="00DF0543" w:rsidP="008833E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DF0543">
              <w:rPr>
                <w:spacing w:val="-2"/>
              </w:rPr>
              <w:t>In the Matter of</w:t>
            </w:r>
          </w:p>
          <w:p w:rsidR="005C02BC" w:rsidRPr="00DF0543" w:rsidP="008833E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5C02BC" w:rsidRPr="00DF0543" w:rsidP="008833E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DF0543">
              <w:rPr>
                <w:spacing w:val="-2"/>
              </w:rPr>
              <w:t>Proposed Changes in the Commission’s Rules Regarding Human Exposure to Radiofrequency Electromagnetic Fields</w:t>
            </w:r>
          </w:p>
          <w:p w:rsidR="005C02BC" w:rsidRPr="00DF0543" w:rsidP="008833E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5C02BC" w:rsidRPr="00DF0543" w:rsidP="008833E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DF0543">
              <w:rPr>
                <w:spacing w:val="-2"/>
              </w:rPr>
              <w:t>Reassessment of Federal Communications Commission Radiofrequency Exposure Limits and Policies</w:t>
            </w:r>
          </w:p>
          <w:p w:rsidR="005C02BC" w:rsidRPr="00DF0543" w:rsidP="008833E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5C02BC" w:rsidRPr="00DF0543" w:rsidP="008833E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DF0543">
              <w:rPr>
                <w:spacing w:val="-2"/>
              </w:rPr>
              <w:t>Targeted Changes to the Commission’s Rules Regarding Human Exposure to Radiofrequency Electromagnetic Fields</w:t>
            </w:r>
          </w:p>
          <w:p w:rsidR="005C02BC" w:rsidRPr="00DF0543" w:rsidP="008833E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</w:tcPr>
          <w:p w:rsidR="005C02BC" w:rsidRPr="002C0DB9" w:rsidP="008833E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2C0DB9">
              <w:rPr>
                <w:b/>
                <w:spacing w:val="-2"/>
              </w:rPr>
              <w:t>)</w:t>
            </w:r>
          </w:p>
          <w:p w:rsidR="005C02BC" w:rsidRPr="002C0DB9" w:rsidP="008833E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2C0DB9">
              <w:rPr>
                <w:b/>
                <w:spacing w:val="-2"/>
              </w:rPr>
              <w:t>)</w:t>
            </w:r>
          </w:p>
          <w:p w:rsidR="005C02BC" w:rsidRPr="002C0DB9" w:rsidP="008833E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2C0DB9">
              <w:rPr>
                <w:b/>
                <w:spacing w:val="-2"/>
              </w:rPr>
              <w:t>)</w:t>
            </w:r>
          </w:p>
          <w:p w:rsidR="005C02BC" w:rsidRPr="002C0DB9" w:rsidP="008833E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2C0DB9">
              <w:rPr>
                <w:b/>
                <w:spacing w:val="-2"/>
              </w:rPr>
              <w:t>)</w:t>
            </w:r>
          </w:p>
          <w:p w:rsidR="005C02BC" w:rsidRPr="002C0DB9" w:rsidP="008833E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2C0DB9">
              <w:rPr>
                <w:b/>
                <w:spacing w:val="-2"/>
              </w:rPr>
              <w:t>)</w:t>
            </w:r>
          </w:p>
          <w:p w:rsidR="005C02BC" w:rsidRPr="002C0DB9" w:rsidP="008833E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2C0DB9">
              <w:rPr>
                <w:b/>
                <w:spacing w:val="-2"/>
              </w:rPr>
              <w:t>)</w:t>
            </w:r>
          </w:p>
          <w:p w:rsidR="005C02BC" w:rsidRPr="002C0DB9" w:rsidP="008833E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2C0DB9">
              <w:rPr>
                <w:b/>
                <w:spacing w:val="-2"/>
              </w:rPr>
              <w:t>)</w:t>
            </w:r>
          </w:p>
          <w:p w:rsidR="005C02BC" w:rsidRPr="00DF0543" w:rsidP="008833E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DF0543">
              <w:t>)</w:t>
            </w:r>
          </w:p>
          <w:p w:rsidR="005C02BC" w:rsidRPr="00DF0543" w:rsidP="008833E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DF0543">
              <w:t>)</w:t>
            </w:r>
          </w:p>
          <w:p w:rsidR="005C02BC" w:rsidRPr="00DF0543" w:rsidP="008833E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DF0543">
              <w:t>)</w:t>
            </w:r>
          </w:p>
          <w:p w:rsidR="005C02BC" w:rsidRPr="00DF0543" w:rsidP="008833E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DF0543">
              <w:t>)</w:t>
            </w:r>
          </w:p>
          <w:p w:rsidR="005C02BC" w:rsidRPr="00DF0543" w:rsidP="008833E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DF0543">
              <w:rPr>
                <w:spacing w:val="-2"/>
              </w:rPr>
              <w:t>)</w:t>
            </w:r>
          </w:p>
          <w:p w:rsidR="005C02BC" w:rsidRPr="00DF0543" w:rsidP="008833E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DF0543">
              <w:rPr>
                <w:spacing w:val="-2"/>
              </w:rPr>
              <w:t>)</w:t>
            </w:r>
          </w:p>
        </w:tc>
        <w:tc>
          <w:tcPr>
            <w:tcW w:w="4248" w:type="dxa"/>
          </w:tcPr>
          <w:p w:rsidR="005C02BC" w:rsidRPr="00DF0543" w:rsidP="008833E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5C02BC" w:rsidRPr="00DF0543" w:rsidP="008833E7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</w:rPr>
            </w:pPr>
          </w:p>
          <w:p w:rsidR="005C02BC" w:rsidRPr="00DF0543" w:rsidP="008833E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DF0543">
              <w:rPr>
                <w:spacing w:val="-2"/>
              </w:rPr>
              <w:t>ET Docket No. 03-137</w:t>
            </w:r>
            <w:r w:rsidRPr="00DF0543">
              <w:rPr>
                <w:spacing w:val="-2"/>
              </w:rPr>
              <w:br/>
              <w:t>(Terminated)</w:t>
            </w:r>
          </w:p>
          <w:p w:rsidR="005C02BC" w:rsidRPr="00DF0543" w:rsidP="008833E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5C02BC" w:rsidRPr="00DF0543" w:rsidP="008833E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5C02BC" w:rsidRPr="00DF0543" w:rsidP="008833E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DF0543">
              <w:rPr>
                <w:spacing w:val="-2"/>
              </w:rPr>
              <w:t>ET Docket No. 13-84</w:t>
            </w:r>
            <w:r w:rsidRPr="00DF0543">
              <w:rPr>
                <w:spacing w:val="-2"/>
              </w:rPr>
              <w:br/>
              <w:t>(Terminated)</w:t>
            </w:r>
          </w:p>
          <w:p w:rsidR="005C02BC" w:rsidRPr="00DF0543" w:rsidP="008833E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5C02BC" w:rsidRPr="00DF0543" w:rsidP="008833E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5C02BC" w:rsidRPr="00DF0543" w:rsidP="008833E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DF0543">
              <w:rPr>
                <w:spacing w:val="-2"/>
              </w:rPr>
              <w:t>ET Docket No. 19-226</w:t>
            </w:r>
          </w:p>
          <w:p w:rsidR="005C02BC" w:rsidRPr="00DF0543" w:rsidP="008833E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5C02BC" w:rsidRPr="00DF0543" w:rsidP="008833E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</w:tbl>
    <w:p w:rsidR="0060228B" w:rsidRPr="007443FC">
      <w:pPr>
        <w:rPr>
          <w:szCs w:val="22"/>
        </w:rPr>
      </w:pPr>
    </w:p>
    <w:p w:rsidR="0060228B" w:rsidRPr="007443FC" w:rsidP="00B52799">
      <w:pPr>
        <w:spacing w:after="120"/>
        <w:jc w:val="center"/>
        <w:rPr>
          <w:b/>
          <w:spacing w:val="-2"/>
          <w:szCs w:val="22"/>
        </w:rPr>
      </w:pPr>
      <w:r w:rsidRPr="007443FC">
        <w:rPr>
          <w:b/>
          <w:spacing w:val="-2"/>
          <w:szCs w:val="22"/>
        </w:rPr>
        <w:t>ERRATUM</w:t>
      </w:r>
    </w:p>
    <w:p w:rsidR="0060228B" w:rsidRPr="002857DB" w:rsidP="00B52799">
      <w:pPr>
        <w:spacing w:after="120"/>
        <w:jc w:val="right"/>
        <w:rPr>
          <w:b/>
          <w:szCs w:val="22"/>
        </w:rPr>
      </w:pPr>
      <w:r w:rsidRPr="002857DB">
        <w:rPr>
          <w:b/>
          <w:szCs w:val="22"/>
        </w:rPr>
        <w:t xml:space="preserve">Released:  </w:t>
      </w:r>
      <w:r w:rsidR="005C02BC">
        <w:rPr>
          <w:b/>
          <w:szCs w:val="22"/>
        </w:rPr>
        <w:t>December</w:t>
      </w:r>
      <w:r w:rsidRPr="002857DB" w:rsidR="00EF47E9">
        <w:rPr>
          <w:b/>
          <w:szCs w:val="22"/>
        </w:rPr>
        <w:t xml:space="preserve"> </w:t>
      </w:r>
      <w:r w:rsidR="007E423F">
        <w:rPr>
          <w:b/>
          <w:szCs w:val="22"/>
        </w:rPr>
        <w:t>20</w:t>
      </w:r>
      <w:r w:rsidRPr="002857DB" w:rsidR="00EF47E9">
        <w:rPr>
          <w:b/>
          <w:szCs w:val="22"/>
        </w:rPr>
        <w:t>, 2019</w:t>
      </w:r>
    </w:p>
    <w:p w:rsidR="0060228B" w:rsidRPr="007443FC" w:rsidP="00B52799">
      <w:pPr>
        <w:tabs>
          <w:tab w:val="left" w:pos="5760"/>
        </w:tabs>
        <w:spacing w:after="120"/>
        <w:rPr>
          <w:szCs w:val="22"/>
        </w:rPr>
      </w:pPr>
      <w:r w:rsidRPr="00A87DB0">
        <w:t>By the Chief, Office of Engineering and Technology</w:t>
      </w:r>
      <w:r w:rsidRPr="00A87DB0">
        <w:rPr>
          <w:spacing w:val="-2"/>
        </w:rPr>
        <w:t>:</w:t>
      </w:r>
    </w:p>
    <w:p w:rsidR="00541AA8" w:rsidP="00635252">
      <w:pPr>
        <w:pStyle w:val="ParaNum"/>
        <w:numPr>
          <w:ilvl w:val="0"/>
          <w:numId w:val="0"/>
        </w:numPr>
        <w:ind w:firstLine="720"/>
        <w:rPr>
          <w:szCs w:val="22"/>
        </w:rPr>
      </w:pPr>
      <w:r w:rsidRPr="007443FC">
        <w:rPr>
          <w:szCs w:val="22"/>
        </w:rPr>
        <w:t xml:space="preserve">On </w:t>
      </w:r>
      <w:r w:rsidR="005C02BC">
        <w:rPr>
          <w:szCs w:val="22"/>
        </w:rPr>
        <w:t>December 4</w:t>
      </w:r>
      <w:r w:rsidRPr="007443FC" w:rsidR="00B216E9">
        <w:rPr>
          <w:szCs w:val="22"/>
        </w:rPr>
        <w:t>, 201</w:t>
      </w:r>
      <w:r w:rsidRPr="007443FC">
        <w:rPr>
          <w:szCs w:val="22"/>
        </w:rPr>
        <w:t>9</w:t>
      </w:r>
      <w:r w:rsidRPr="007443FC" w:rsidR="00B216E9">
        <w:rPr>
          <w:szCs w:val="22"/>
        </w:rPr>
        <w:t xml:space="preserve">, the Commission </w:t>
      </w:r>
      <w:r w:rsidRPr="007443FC">
        <w:rPr>
          <w:szCs w:val="22"/>
        </w:rPr>
        <w:t xml:space="preserve">released a </w:t>
      </w:r>
      <w:r w:rsidRPr="00541AA8" w:rsidR="00B216E9">
        <w:rPr>
          <w:i/>
          <w:szCs w:val="22"/>
        </w:rPr>
        <w:t>Report and Order</w:t>
      </w:r>
      <w:r w:rsidRPr="007443FC" w:rsidR="00B216E9">
        <w:rPr>
          <w:szCs w:val="22"/>
        </w:rPr>
        <w:t>, FCC 1</w:t>
      </w:r>
      <w:r w:rsidRPr="007443FC">
        <w:rPr>
          <w:szCs w:val="22"/>
        </w:rPr>
        <w:t>9</w:t>
      </w:r>
      <w:r w:rsidRPr="007443FC" w:rsidR="00B216E9">
        <w:rPr>
          <w:szCs w:val="22"/>
        </w:rPr>
        <w:t>-</w:t>
      </w:r>
      <w:r>
        <w:rPr>
          <w:szCs w:val="22"/>
        </w:rPr>
        <w:t>126</w:t>
      </w:r>
      <w:r w:rsidRPr="007443FC" w:rsidR="00B216E9">
        <w:rPr>
          <w:szCs w:val="22"/>
        </w:rPr>
        <w:t>, in the above-</w:t>
      </w:r>
      <w:r w:rsidRPr="007443FC">
        <w:rPr>
          <w:szCs w:val="22"/>
        </w:rPr>
        <w:t xml:space="preserve">captioned proceeding.  </w:t>
      </w:r>
      <w:r w:rsidRPr="007443FC" w:rsidR="00B978E5">
        <w:rPr>
          <w:szCs w:val="22"/>
        </w:rPr>
        <w:t>T</w:t>
      </w:r>
      <w:r w:rsidRPr="007443FC">
        <w:rPr>
          <w:szCs w:val="22"/>
        </w:rPr>
        <w:t xml:space="preserve">his Erratum </w:t>
      </w:r>
      <w:r>
        <w:rPr>
          <w:szCs w:val="22"/>
        </w:rPr>
        <w:t xml:space="preserve">amends Appendix A of the </w:t>
      </w:r>
      <w:r>
        <w:rPr>
          <w:i/>
          <w:szCs w:val="22"/>
        </w:rPr>
        <w:t>Report and Order</w:t>
      </w:r>
      <w:r>
        <w:rPr>
          <w:szCs w:val="22"/>
        </w:rPr>
        <w:t xml:space="preserve"> as indicated below:</w:t>
      </w:r>
    </w:p>
    <w:p w:rsidR="00541AA8" w:rsidP="00122133">
      <w:pPr>
        <w:pStyle w:val="ParaNum"/>
        <w:numPr>
          <w:ilvl w:val="0"/>
          <w:numId w:val="30"/>
        </w:numPr>
        <w:ind w:left="0" w:firstLine="360"/>
        <w:rPr>
          <w:szCs w:val="22"/>
        </w:rPr>
      </w:pPr>
      <w:r>
        <w:rPr>
          <w:szCs w:val="22"/>
        </w:rPr>
        <w:t xml:space="preserve">Paragraph </w:t>
      </w:r>
      <w:r w:rsidR="00352BEA">
        <w:rPr>
          <w:szCs w:val="22"/>
        </w:rPr>
        <w:t>6</w:t>
      </w:r>
      <w:r w:rsidR="00140F58">
        <w:rPr>
          <w:szCs w:val="22"/>
        </w:rPr>
        <w:t>, with amendments to Section 2.1033(f),</w:t>
      </w:r>
      <w:r>
        <w:rPr>
          <w:szCs w:val="22"/>
        </w:rPr>
        <w:t xml:space="preserve"> is corrected </w:t>
      </w:r>
      <w:r w:rsidR="00A35C2E">
        <w:rPr>
          <w:szCs w:val="22"/>
        </w:rPr>
        <w:t xml:space="preserve">as to that subsection </w:t>
      </w:r>
      <w:r w:rsidR="00140F58">
        <w:rPr>
          <w:szCs w:val="22"/>
        </w:rPr>
        <w:t>to replace “modular transmitters” with “RF sources”</w:t>
      </w:r>
      <w:r w:rsidR="00A35C2E">
        <w:rPr>
          <w:szCs w:val="22"/>
        </w:rPr>
        <w:t>.</w:t>
      </w:r>
    </w:p>
    <w:p w:rsidR="00122133" w:rsidRPr="00122133" w:rsidP="00122133">
      <w:pPr>
        <w:pStyle w:val="ParaNum"/>
        <w:numPr>
          <w:ilvl w:val="0"/>
          <w:numId w:val="30"/>
        </w:numPr>
        <w:ind w:left="0" w:firstLine="360"/>
        <w:rPr>
          <w:szCs w:val="22"/>
        </w:rPr>
      </w:pPr>
      <w:r>
        <w:rPr>
          <w:szCs w:val="22"/>
        </w:rPr>
        <w:t>Paragraph 7, with amendments to Section 2.1091(</w:t>
      </w:r>
      <w:r w:rsidR="006805DE">
        <w:rPr>
          <w:szCs w:val="22"/>
        </w:rPr>
        <w:t>c</w:t>
      </w:r>
      <w:r>
        <w:rPr>
          <w:szCs w:val="22"/>
        </w:rPr>
        <w:t>)(</w:t>
      </w:r>
      <w:r w:rsidR="006805DE">
        <w:rPr>
          <w:szCs w:val="22"/>
        </w:rPr>
        <w:t>1</w:t>
      </w:r>
      <w:r>
        <w:rPr>
          <w:szCs w:val="22"/>
        </w:rPr>
        <w:t xml:space="preserve">), is corrected </w:t>
      </w:r>
      <w:r w:rsidR="001364CA">
        <w:rPr>
          <w:szCs w:val="22"/>
        </w:rPr>
        <w:t>as to that subsection to replace “</w:t>
      </w:r>
      <m:oMath>
        <m:r>
          <w:rPr>
            <w:rFonts w:ascii="Cambria Math" w:hAnsi="Cambria Math"/>
          </w:rPr>
          <m:t>1.5</m:t>
        </m:r>
        <m:r>
          <m:rPr>
            <m:nor/>
          </m:rPr>
          <m:t xml:space="preserve"> GHz</m:t>
        </m:r>
        <m:r>
          <w:rPr>
            <w:rFonts w:ascii="Cambria Math" w:hAnsi="Cambria Math"/>
          </w:rPr>
          <m:t>≤f&lt;6</m:t>
        </m:r>
        <m:r>
          <m:rPr>
            <m:nor/>
          </m:rPr>
          <m:t xml:space="preserve"> GHz</m:t>
        </m:r>
      </m:oMath>
      <w:r w:rsidR="001364CA">
        <w:t>” with “</w:t>
      </w:r>
      <m:oMath>
        <m:r>
          <w:rPr>
            <w:rFonts w:ascii="Cambria Math" w:hAnsi="Cambria Math"/>
          </w:rPr>
          <m:t>1.5</m:t>
        </m:r>
        <m:r>
          <m:rPr>
            <m:nor/>
          </m:rPr>
          <m:t xml:space="preserve"> GHz</m:t>
        </m:r>
        <m:r>
          <w:rPr>
            <w:rFonts w:ascii="Cambria Math" w:hAnsi="Cambria Math"/>
          </w:rPr>
          <m:t>≤f≤6</m:t>
        </m:r>
        <m:r>
          <m:rPr>
            <m:nor/>
          </m:rPr>
          <m:t xml:space="preserve"> GHz</m:t>
        </m:r>
      </m:oMath>
      <w:r w:rsidR="001364CA">
        <w:t xml:space="preserve">” in the formula for </w:t>
      </w:r>
      <w:r w:rsidR="001364CA">
        <w:rPr>
          <w:i/>
        </w:rPr>
        <w:t>P</w:t>
      </w:r>
      <w:r w:rsidRPr="001364CA" w:rsidR="001364CA">
        <w:rPr>
          <w:i/>
          <w:vertAlign w:val="subscript"/>
        </w:rPr>
        <w:t>th</w:t>
      </w:r>
      <w:r w:rsidR="001364CA">
        <w:t xml:space="preserve"> such that </w:t>
      </w:r>
      <w:r w:rsidR="00CC7807">
        <w:t>the formula</w:t>
      </w:r>
      <w:r w:rsidR="001364CA">
        <w:t xml:space="preserve"> is inclusive of 6 GHz.</w:t>
      </w:r>
    </w:p>
    <w:p w:rsidR="00122133" w:rsidRPr="00122133" w:rsidP="00122133">
      <w:pPr>
        <w:pStyle w:val="ParaNum"/>
        <w:numPr>
          <w:ilvl w:val="0"/>
          <w:numId w:val="30"/>
        </w:numPr>
        <w:suppressAutoHyphens/>
        <w:ind w:left="0" w:firstLine="360"/>
      </w:pPr>
      <w:r w:rsidRPr="00122133">
        <w:rPr>
          <w:szCs w:val="22"/>
        </w:rPr>
        <w:t>Paragraph 7, with amendments to Section 2.1091(d), is corrected as to that subsection to renumber paragraph “(d)</w:t>
      </w:r>
      <w:r w:rsidRPr="00122133">
        <w:rPr>
          <w:szCs w:val="22"/>
        </w:rPr>
        <w:t>(2)” to “(d)(2)(</w:t>
      </w:r>
      <w:r w:rsidRPr="00122133">
        <w:rPr>
          <w:szCs w:val="22"/>
        </w:rPr>
        <w:t>i</w:t>
      </w:r>
      <w:r w:rsidRPr="00122133">
        <w:rPr>
          <w:szCs w:val="22"/>
        </w:rPr>
        <w:t>)” and renumber paragraph “(d)(3)” to “(d)(2)(ii)”</w:t>
      </w:r>
      <w:r w:rsidR="00CC7807">
        <w:rPr>
          <w:szCs w:val="22"/>
        </w:rPr>
        <w:t xml:space="preserve"> such that it reads as follows:</w:t>
      </w:r>
      <w:r w:rsidRPr="00122133">
        <w:rPr>
          <w:szCs w:val="22"/>
        </w:rPr>
        <w:t xml:space="preserve">  </w:t>
      </w:r>
    </w:p>
    <w:p w:rsidR="00122133" w:rsidP="00122133">
      <w:pPr>
        <w:pStyle w:val="ParaNum"/>
        <w:numPr>
          <w:ilvl w:val="0"/>
          <w:numId w:val="0"/>
        </w:numPr>
        <w:suppressAutoHyphens/>
        <w:ind w:left="720"/>
        <w:rPr>
          <w:color w:val="000000"/>
        </w:rPr>
      </w:pPr>
      <w:bookmarkStart w:id="1" w:name="OLE_LINK63"/>
      <w:r w:rsidRPr="00DF0543">
        <w:t>(d)(1</w:t>
      </w:r>
      <w:r w:rsidRPr="00DF0543">
        <w:t>)  Applications</w:t>
      </w:r>
      <w:r w:rsidRPr="00DF0543">
        <w:t xml:space="preserve"> for equipment authorization of mobile RF sources subject to routine environmental evaluation must contain a statement confirming compliance with the limits specified in </w:t>
      </w:r>
      <w:r w:rsidRPr="00122133">
        <w:rPr>
          <w:color w:val="000000"/>
        </w:rPr>
        <w:t>Section 1.1310 of this chapter</w:t>
      </w:r>
      <w:r w:rsidRPr="00DF0543">
        <w:t xml:space="preserve"> as part of their application.  Technical information showing the basis for this statement must be submitted to the Commission upon request. </w:t>
      </w:r>
      <w:r w:rsidRPr="00122133">
        <w:rPr>
          <w:color w:val="000000"/>
        </w:rPr>
        <w:t xml:space="preserve"> In general, maximum time-averaged power levels must be used for evaluation.  All unlicensed personal communications service (PCS) devices and unlicensed NII devices shall be subject to the limits for general population/uncontrolled exposure.</w:t>
      </w:r>
      <w:bookmarkStart w:id="2" w:name="OLE_LINK64"/>
      <w:bookmarkEnd w:id="1"/>
    </w:p>
    <w:p w:rsidR="00122133" w:rsidP="00122133">
      <w:pPr>
        <w:pStyle w:val="ParaNum"/>
        <w:numPr>
          <w:ilvl w:val="0"/>
          <w:numId w:val="0"/>
        </w:numPr>
        <w:suppressAutoHyphens/>
        <w:ind w:left="720"/>
      </w:pPr>
      <w:r w:rsidRPr="00DF0543">
        <w:t>(2)</w:t>
      </w:r>
      <w:r w:rsidR="00CC7807">
        <w:t>(</w:t>
      </w:r>
      <w:r w:rsidR="00CC7807">
        <w:t>i</w:t>
      </w:r>
      <w:r w:rsidR="00CC7807">
        <w:t>)</w:t>
      </w:r>
      <w:r w:rsidRPr="00DF0543">
        <w:t xml:space="preserve">  For</w:t>
      </w:r>
      <w:r w:rsidRPr="00DF0543">
        <w:t xml:space="preserve"> purposes of analyzing mobile transmitting devices under the occupational/controlled criteria specified in Section 1.1310 of this chapter, time averaging provisions of the limits may be used in conjunction with the maximum duty factor to determine maximum time-averaged exposure levels under normal operating conditions.</w:t>
      </w:r>
      <w:bookmarkStart w:id="3" w:name="OLE_LINK65"/>
      <w:bookmarkEnd w:id="2"/>
    </w:p>
    <w:p w:rsidR="00122133" w:rsidP="00122133">
      <w:pPr>
        <w:pStyle w:val="ParaNum"/>
        <w:numPr>
          <w:ilvl w:val="0"/>
          <w:numId w:val="0"/>
        </w:numPr>
        <w:suppressAutoHyphens/>
        <w:ind w:left="720"/>
      </w:pPr>
      <w:r>
        <w:t>(ii)</w:t>
      </w:r>
      <w:r w:rsidRPr="00DF0543">
        <w:t xml:space="preserve">  Such time averaging provisions based on maximum duty factor may not be used in determining exposure levels for devices intended for use by consumers in general population/uncontrolled environments as defined in Section 1.1310 of this chapter.  However, “source-based” time averaging based on an inherent property of the RF source is allowed over a time period not to exceed 30 minutes.  An example of this is the determination of exposure from a </w:t>
      </w:r>
      <w:r w:rsidRPr="00DF0543">
        <w:t>device that uses digital technology such as a time-division multiple-access (TDMA) scheme for transmission of a signal.</w:t>
      </w:r>
      <w:bookmarkEnd w:id="3"/>
    </w:p>
    <w:p w:rsidR="00122133" w:rsidP="00122133">
      <w:pPr>
        <w:pStyle w:val="ParaNum"/>
        <w:numPr>
          <w:ilvl w:val="0"/>
          <w:numId w:val="0"/>
        </w:numPr>
        <w:suppressAutoHyphens/>
        <w:ind w:left="720"/>
      </w:pPr>
    </w:p>
    <w:p w:rsidR="00122133" w:rsidP="00122133">
      <w:pPr>
        <w:pStyle w:val="ParaNum"/>
        <w:numPr>
          <w:ilvl w:val="0"/>
          <w:numId w:val="0"/>
        </w:numPr>
        <w:suppressAutoHyphens/>
        <w:ind w:left="720"/>
        <w:rPr>
          <w:color w:val="000000"/>
        </w:rPr>
      </w:pPr>
      <w:r w:rsidRPr="00DF0543">
        <w:rPr>
          <w:color w:val="000000"/>
        </w:rPr>
        <w:t>*  *  *  *  *</w:t>
      </w:r>
    </w:p>
    <w:p w:rsidR="00122133" w:rsidRPr="00DF0543" w:rsidP="00122133">
      <w:pPr>
        <w:pStyle w:val="ParaNum"/>
        <w:numPr>
          <w:ilvl w:val="0"/>
          <w:numId w:val="0"/>
        </w:numPr>
        <w:suppressAutoHyphens/>
        <w:ind w:left="720"/>
        <w:rPr>
          <w:color w:val="000000"/>
        </w:rPr>
      </w:pPr>
    </w:p>
    <w:p w:rsidR="00140F58" w:rsidRPr="00541AA8" w:rsidP="00A522E2">
      <w:pPr>
        <w:pStyle w:val="ParaNum"/>
        <w:numPr>
          <w:ilvl w:val="0"/>
          <w:numId w:val="30"/>
        </w:numPr>
        <w:ind w:left="0" w:firstLine="360"/>
        <w:rPr>
          <w:szCs w:val="22"/>
        </w:rPr>
      </w:pPr>
      <w:r>
        <w:rPr>
          <w:szCs w:val="22"/>
        </w:rPr>
        <w:t xml:space="preserve">Paragraph 16, with amendments to Section 15.709(h), </w:t>
      </w:r>
      <w:r w:rsidR="00A35C2E">
        <w:rPr>
          <w:szCs w:val="22"/>
        </w:rPr>
        <w:t>is corrected as to that subsection to replace “modular transmitters” with “RF sources”</w:t>
      </w:r>
      <w:r w:rsidR="006313A7">
        <w:rPr>
          <w:szCs w:val="22"/>
        </w:rPr>
        <w:t xml:space="preserve"> and replace</w:t>
      </w:r>
      <w:r w:rsidR="00715CD7">
        <w:rPr>
          <w:szCs w:val="22"/>
        </w:rPr>
        <w:t xml:space="preserve"> “TVBDs” with “White space devices”.</w:t>
      </w:r>
    </w:p>
    <w:p w:rsidR="00A40C14" w:rsidRPr="007443FC" w:rsidP="00635252">
      <w:pPr>
        <w:keepNext/>
        <w:widowControl/>
        <w:tabs>
          <w:tab w:val="left" w:pos="1080"/>
        </w:tabs>
        <w:rPr>
          <w:snapToGrid/>
          <w:kern w:val="0"/>
          <w:szCs w:val="22"/>
        </w:rPr>
      </w:pPr>
    </w:p>
    <w:p w:rsidR="00B07300" w:rsidRPr="007443FC" w:rsidP="00635252">
      <w:pPr>
        <w:pStyle w:val="Heading1"/>
        <w:widowControl/>
        <w:numPr>
          <w:ilvl w:val="0"/>
          <w:numId w:val="0"/>
        </w:numPr>
        <w:suppressAutoHyphens w:val="0"/>
        <w:spacing w:after="0"/>
        <w:rPr>
          <w:rFonts w:ascii="Times New Roman" w:hAnsi="Times New Roman"/>
          <w:b w:val="0"/>
          <w:caps w:val="0"/>
          <w:spacing w:val="-2"/>
          <w:szCs w:val="22"/>
        </w:rPr>
      </w:pPr>
      <w:r w:rsidRPr="007443FC">
        <w:rPr>
          <w:b w:val="0"/>
          <w:caps w:val="0"/>
          <w:spacing w:val="-2"/>
          <w:szCs w:val="22"/>
        </w:rPr>
        <w:tab/>
      </w:r>
      <w:r w:rsidRPr="007443FC">
        <w:rPr>
          <w:b w:val="0"/>
          <w:caps w:val="0"/>
          <w:spacing w:val="-2"/>
          <w:szCs w:val="22"/>
        </w:rPr>
        <w:tab/>
      </w:r>
      <w:r w:rsidRPr="007443FC">
        <w:rPr>
          <w:b w:val="0"/>
          <w:caps w:val="0"/>
          <w:spacing w:val="-2"/>
          <w:szCs w:val="22"/>
        </w:rPr>
        <w:tab/>
      </w:r>
      <w:r w:rsidRPr="007443FC">
        <w:rPr>
          <w:b w:val="0"/>
          <w:caps w:val="0"/>
          <w:spacing w:val="-2"/>
          <w:szCs w:val="22"/>
        </w:rPr>
        <w:tab/>
      </w:r>
      <w:r w:rsidRPr="007443FC">
        <w:rPr>
          <w:b w:val="0"/>
          <w:caps w:val="0"/>
          <w:spacing w:val="-2"/>
          <w:szCs w:val="22"/>
        </w:rPr>
        <w:tab/>
      </w:r>
      <w:r w:rsidRPr="007443FC">
        <w:rPr>
          <w:b w:val="0"/>
          <w:caps w:val="0"/>
          <w:spacing w:val="-2"/>
          <w:szCs w:val="22"/>
        </w:rPr>
        <w:tab/>
      </w:r>
      <w:r w:rsidRPr="007443FC">
        <w:rPr>
          <w:rFonts w:ascii="Times New Roman" w:hAnsi="Times New Roman"/>
          <w:b w:val="0"/>
          <w:caps w:val="0"/>
          <w:spacing w:val="-2"/>
          <w:szCs w:val="22"/>
        </w:rPr>
        <w:t>FEDERAL COMMUNICATIONS COMMISSION</w:t>
      </w:r>
    </w:p>
    <w:p w:rsidR="00506419" w:rsidRPr="007443FC" w:rsidP="00635252">
      <w:pPr>
        <w:pStyle w:val="ParaNum"/>
        <w:keepNext/>
        <w:widowControl/>
        <w:numPr>
          <w:ilvl w:val="0"/>
          <w:numId w:val="0"/>
        </w:numPr>
        <w:spacing w:after="0"/>
        <w:rPr>
          <w:szCs w:val="22"/>
        </w:rPr>
      </w:pPr>
    </w:p>
    <w:p w:rsidR="00506419" w:rsidRPr="007443FC" w:rsidP="00635252">
      <w:pPr>
        <w:pStyle w:val="ParaNum"/>
        <w:keepNext/>
        <w:widowControl/>
        <w:numPr>
          <w:ilvl w:val="0"/>
          <w:numId w:val="0"/>
        </w:numPr>
        <w:spacing w:after="0"/>
        <w:rPr>
          <w:szCs w:val="22"/>
        </w:rPr>
      </w:pPr>
    </w:p>
    <w:p w:rsidR="00506419" w:rsidRPr="007443FC" w:rsidP="00635252">
      <w:pPr>
        <w:pStyle w:val="ParaNum"/>
        <w:keepNext/>
        <w:widowControl/>
        <w:numPr>
          <w:ilvl w:val="0"/>
          <w:numId w:val="0"/>
        </w:numPr>
        <w:spacing w:after="0"/>
        <w:rPr>
          <w:szCs w:val="22"/>
        </w:rPr>
      </w:pPr>
    </w:p>
    <w:p w:rsidR="00AD7575" w:rsidP="00AD7575">
      <w:pPr>
        <w:pStyle w:val="ParaNum"/>
        <w:keepNext/>
        <w:widowControl/>
        <w:numPr>
          <w:ilvl w:val="0"/>
          <w:numId w:val="0"/>
        </w:numPr>
        <w:spacing w:after="0"/>
        <w:rPr>
          <w:szCs w:val="22"/>
        </w:rPr>
      </w:pPr>
    </w:p>
    <w:p w:rsidR="00506419" w:rsidRPr="007443FC" w:rsidP="00635252">
      <w:pPr>
        <w:pStyle w:val="ParaNum"/>
        <w:keepNext/>
        <w:widowControl/>
        <w:numPr>
          <w:ilvl w:val="0"/>
          <w:numId w:val="0"/>
        </w:numPr>
        <w:spacing w:after="0"/>
        <w:rPr>
          <w:szCs w:val="22"/>
        </w:rPr>
      </w:pPr>
      <w:r w:rsidRPr="007443FC">
        <w:rPr>
          <w:szCs w:val="22"/>
        </w:rPr>
        <w:tab/>
      </w:r>
      <w:r w:rsidRPr="007443FC">
        <w:rPr>
          <w:szCs w:val="22"/>
        </w:rPr>
        <w:tab/>
      </w:r>
      <w:r w:rsidRPr="007443FC">
        <w:rPr>
          <w:szCs w:val="22"/>
        </w:rPr>
        <w:tab/>
      </w:r>
      <w:r w:rsidRPr="007443FC">
        <w:rPr>
          <w:szCs w:val="22"/>
        </w:rPr>
        <w:tab/>
      </w:r>
      <w:r w:rsidRPr="007443FC">
        <w:rPr>
          <w:szCs w:val="22"/>
        </w:rPr>
        <w:tab/>
      </w:r>
      <w:r w:rsidRPr="007443FC">
        <w:rPr>
          <w:szCs w:val="22"/>
        </w:rPr>
        <w:tab/>
      </w:r>
      <w:r w:rsidRPr="007443FC" w:rsidR="002E1738">
        <w:rPr>
          <w:szCs w:val="22"/>
        </w:rPr>
        <w:t>Julius P. Knapp</w:t>
      </w:r>
    </w:p>
    <w:p w:rsidR="007F01A1" w:rsidRPr="007443FC" w:rsidP="00B52799">
      <w:pPr>
        <w:pStyle w:val="ParaNum"/>
        <w:numPr>
          <w:ilvl w:val="0"/>
          <w:numId w:val="0"/>
        </w:numPr>
        <w:spacing w:after="0"/>
        <w:rPr>
          <w:szCs w:val="22"/>
        </w:rPr>
      </w:pPr>
      <w:r w:rsidRPr="007443FC">
        <w:rPr>
          <w:szCs w:val="22"/>
        </w:rPr>
        <w:tab/>
      </w:r>
      <w:r w:rsidRPr="007443FC">
        <w:rPr>
          <w:szCs w:val="22"/>
        </w:rPr>
        <w:tab/>
      </w:r>
      <w:r w:rsidRPr="007443FC">
        <w:rPr>
          <w:szCs w:val="22"/>
        </w:rPr>
        <w:tab/>
      </w:r>
      <w:r w:rsidRPr="007443FC">
        <w:rPr>
          <w:szCs w:val="22"/>
        </w:rPr>
        <w:tab/>
      </w:r>
      <w:r w:rsidRPr="007443FC">
        <w:rPr>
          <w:szCs w:val="22"/>
        </w:rPr>
        <w:tab/>
      </w:r>
      <w:r w:rsidRPr="007443FC">
        <w:rPr>
          <w:szCs w:val="22"/>
        </w:rPr>
        <w:tab/>
        <w:t xml:space="preserve">Chief, </w:t>
      </w:r>
      <w:r w:rsidRPr="007443FC" w:rsidR="002E1738">
        <w:rPr>
          <w:szCs w:val="22"/>
        </w:rPr>
        <w:t>Office of Engineering and Technology</w:t>
      </w:r>
    </w:p>
    <w:p w:rsidR="002E484C" w:rsidRPr="007443FC" w:rsidP="002E1738">
      <w:pPr>
        <w:pStyle w:val="ParaNum"/>
        <w:numPr>
          <w:ilvl w:val="0"/>
          <w:numId w:val="0"/>
        </w:numPr>
        <w:spacing w:after="0"/>
        <w:rPr>
          <w:szCs w:val="22"/>
        </w:rPr>
      </w:pPr>
    </w:p>
    <w:sectPr>
      <w:headerReference w:type="default" r:id="rId4"/>
      <w:footerReference w:type="default" r:id="rId5"/>
      <w:headerReference w:type="first" r:id="rId6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279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P="005279BB">
    <w:pPr>
      <w:pStyle w:val="Header"/>
    </w:pPr>
    <w:r>
      <w:tab/>
      <w:t>Federal Communications Commission</w:t>
    </w:r>
    <w:r>
      <w:tab/>
    </w:r>
  </w:p>
  <w:p w:rsidR="0060228B" w:rsidP="005279BB">
    <w:pPr>
      <w:pStyle w:val="Header"/>
    </w:pPr>
    <w:r>
      <w:rPr>
        <w:b w:val="0"/>
        <w:noProof/>
        <w:snapToGrid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75pt" to="468pt,1.75pt" o:allowincell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RPr="002A29D2" w:rsidP="005279BB">
    <w:pPr>
      <w:pStyle w:val="Header"/>
    </w:pPr>
    <w:r>
      <w:tab/>
    </w:r>
    <w:r w:rsidRPr="002A29D2">
      <w:t>Federal Communications Commission</w:t>
    </w:r>
    <w:r>
      <w:tab/>
    </w:r>
  </w:p>
  <w:p w:rsidR="0060228B" w:rsidP="005279BB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1.75pt" to="468pt,1.75pt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2665B4"/>
    <w:multiLevelType w:val="hybridMultilevel"/>
    <w:tmpl w:val="4BC894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4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8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0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2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3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4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5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6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7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8D442D9"/>
    <w:multiLevelType w:val="hybridMultilevel"/>
    <w:tmpl w:val="9A1C9FEE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0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2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3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4">
    <w:nsid w:val="59BA0F8A"/>
    <w:multiLevelType w:val="singleLevel"/>
    <w:tmpl w:val="5E322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5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7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28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7"/>
  </w:num>
  <w:num w:numId="2">
    <w:abstractNumId w:val="28"/>
  </w:num>
  <w:num w:numId="3">
    <w:abstractNumId w:val="5"/>
  </w:num>
  <w:num w:numId="4">
    <w:abstractNumId w:val="22"/>
  </w:num>
  <w:num w:numId="5">
    <w:abstractNumId w:val="9"/>
  </w:num>
  <w:num w:numId="6">
    <w:abstractNumId w:val="25"/>
  </w:num>
  <w:num w:numId="7">
    <w:abstractNumId w:val="17"/>
  </w:num>
  <w:num w:numId="8">
    <w:abstractNumId w:val="10"/>
  </w:num>
  <w:num w:numId="9">
    <w:abstractNumId w:val="24"/>
  </w:num>
  <w:num w:numId="10">
    <w:abstractNumId w:val="15"/>
  </w:num>
  <w:num w:numId="11">
    <w:abstractNumId w:val="14"/>
  </w:num>
  <w:num w:numId="12">
    <w:abstractNumId w:val="11"/>
  </w:num>
  <w:num w:numId="13">
    <w:abstractNumId w:val="16"/>
  </w:num>
  <w:num w:numId="14">
    <w:abstractNumId w:val="23"/>
  </w:num>
  <w:num w:numId="15">
    <w:abstractNumId w:val="3"/>
  </w:num>
  <w:num w:numId="16">
    <w:abstractNumId w:val="4"/>
  </w:num>
  <w:num w:numId="17">
    <w:abstractNumId w:val="12"/>
  </w:num>
  <w:num w:numId="18">
    <w:abstractNumId w:val="2"/>
  </w:num>
  <w:num w:numId="19">
    <w:abstractNumId w:val="13"/>
  </w:num>
  <w:num w:numId="20">
    <w:abstractNumId w:val="19"/>
  </w:num>
  <w:num w:numId="21">
    <w:abstractNumId w:val="21"/>
  </w:num>
  <w:num w:numId="22">
    <w:abstractNumId w:val="6"/>
  </w:num>
  <w:num w:numId="23">
    <w:abstractNumId w:val="26"/>
  </w:num>
  <w:num w:numId="24">
    <w:abstractNumId w:val="8"/>
  </w:num>
  <w:num w:numId="25">
    <w:abstractNumId w:val="20"/>
  </w:num>
  <w:num w:numId="26">
    <w:abstractNumId w:val="7"/>
  </w:num>
  <w:num w:numId="27">
    <w:abstractNumId w:val="1"/>
  </w:num>
  <w:num w:numId="28">
    <w:abstractNumId w:val="0"/>
  </w:num>
  <w:num w:numId="29">
    <w:abstractNumId w:val="26"/>
    <w:lvlOverride w:ilvl="0">
      <w:startOverride w:val="1"/>
    </w:lvlOverride>
  </w:num>
  <w:num w:numId="30">
    <w:abstractNumId w:val="1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6E9"/>
    <w:rsid w:val="00003014"/>
    <w:rsid w:val="00007D17"/>
    <w:rsid w:val="00042AE5"/>
    <w:rsid w:val="000F719D"/>
    <w:rsid w:val="00122133"/>
    <w:rsid w:val="001364CA"/>
    <w:rsid w:val="001367A2"/>
    <w:rsid w:val="00140F58"/>
    <w:rsid w:val="001E5BAB"/>
    <w:rsid w:val="001F6399"/>
    <w:rsid w:val="00201A31"/>
    <w:rsid w:val="00277FE5"/>
    <w:rsid w:val="002857DB"/>
    <w:rsid w:val="002A29D2"/>
    <w:rsid w:val="002A4E36"/>
    <w:rsid w:val="002B14BB"/>
    <w:rsid w:val="002C0DB9"/>
    <w:rsid w:val="002E1738"/>
    <w:rsid w:val="002E484C"/>
    <w:rsid w:val="0031543F"/>
    <w:rsid w:val="00352BEA"/>
    <w:rsid w:val="00385C41"/>
    <w:rsid w:val="003D22BB"/>
    <w:rsid w:val="00412F23"/>
    <w:rsid w:val="004314C0"/>
    <w:rsid w:val="00456E40"/>
    <w:rsid w:val="00474214"/>
    <w:rsid w:val="004A2FBE"/>
    <w:rsid w:val="004B732A"/>
    <w:rsid w:val="004E2DD1"/>
    <w:rsid w:val="00506419"/>
    <w:rsid w:val="005279BB"/>
    <w:rsid w:val="00541AA8"/>
    <w:rsid w:val="00571965"/>
    <w:rsid w:val="005A09E4"/>
    <w:rsid w:val="005C02BC"/>
    <w:rsid w:val="005F5E72"/>
    <w:rsid w:val="0060228B"/>
    <w:rsid w:val="0062796E"/>
    <w:rsid w:val="006313A7"/>
    <w:rsid w:val="00635252"/>
    <w:rsid w:val="006805DE"/>
    <w:rsid w:val="00697983"/>
    <w:rsid w:val="006D5147"/>
    <w:rsid w:val="006D7B3A"/>
    <w:rsid w:val="006F56A0"/>
    <w:rsid w:val="00715CD7"/>
    <w:rsid w:val="007344C8"/>
    <w:rsid w:val="007411C5"/>
    <w:rsid w:val="007443FC"/>
    <w:rsid w:val="00745A2D"/>
    <w:rsid w:val="007A461B"/>
    <w:rsid w:val="007C2C37"/>
    <w:rsid w:val="007E423F"/>
    <w:rsid w:val="007F01A1"/>
    <w:rsid w:val="00811592"/>
    <w:rsid w:val="008437AF"/>
    <w:rsid w:val="008445F0"/>
    <w:rsid w:val="008574C8"/>
    <w:rsid w:val="00864FB5"/>
    <w:rsid w:val="00880AC7"/>
    <w:rsid w:val="008833E7"/>
    <w:rsid w:val="00891ADC"/>
    <w:rsid w:val="00895291"/>
    <w:rsid w:val="008A304E"/>
    <w:rsid w:val="008B7FE8"/>
    <w:rsid w:val="008D4FD4"/>
    <w:rsid w:val="008D53D7"/>
    <w:rsid w:val="008E0BAA"/>
    <w:rsid w:val="008F6E0D"/>
    <w:rsid w:val="0098236F"/>
    <w:rsid w:val="009D5FB2"/>
    <w:rsid w:val="00A26D5C"/>
    <w:rsid w:val="00A35C2E"/>
    <w:rsid w:val="00A40C14"/>
    <w:rsid w:val="00A522E2"/>
    <w:rsid w:val="00A66149"/>
    <w:rsid w:val="00A6678A"/>
    <w:rsid w:val="00A773D9"/>
    <w:rsid w:val="00A87DB0"/>
    <w:rsid w:val="00AD7575"/>
    <w:rsid w:val="00B07300"/>
    <w:rsid w:val="00B216E9"/>
    <w:rsid w:val="00B33F77"/>
    <w:rsid w:val="00B40CD1"/>
    <w:rsid w:val="00B52799"/>
    <w:rsid w:val="00B87A3F"/>
    <w:rsid w:val="00B91BD2"/>
    <w:rsid w:val="00B978E5"/>
    <w:rsid w:val="00BA5D96"/>
    <w:rsid w:val="00BA5FD9"/>
    <w:rsid w:val="00BE6A4D"/>
    <w:rsid w:val="00C70227"/>
    <w:rsid w:val="00C841C4"/>
    <w:rsid w:val="00CA641C"/>
    <w:rsid w:val="00CC7807"/>
    <w:rsid w:val="00D13BA1"/>
    <w:rsid w:val="00D976E3"/>
    <w:rsid w:val="00DB4005"/>
    <w:rsid w:val="00DF0543"/>
    <w:rsid w:val="00DF3E4D"/>
    <w:rsid w:val="00E00E22"/>
    <w:rsid w:val="00E462C2"/>
    <w:rsid w:val="00E56185"/>
    <w:rsid w:val="00E60467"/>
    <w:rsid w:val="00E7408B"/>
    <w:rsid w:val="00E91EF7"/>
    <w:rsid w:val="00EB1A95"/>
    <w:rsid w:val="00ED2EA8"/>
    <w:rsid w:val="00EF47E9"/>
    <w:rsid w:val="00F25801"/>
    <w:rsid w:val="00F42BFE"/>
    <w:rsid w:val="00F60FD7"/>
    <w:rsid w:val="00F9741B"/>
    <w:rsid w:val="00FC5D6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1C4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C841C4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C841C4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C841C4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841C4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C841C4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C841C4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C841C4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C841C4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C841C4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C841C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841C4"/>
  </w:style>
  <w:style w:type="paragraph" w:styleId="Caption">
    <w:name w:val="caption"/>
    <w:basedOn w:val="Normal"/>
    <w:next w:val="Normal"/>
    <w:qFormat/>
    <w:rsid w:val="00A66149"/>
    <w:pPr>
      <w:spacing w:before="120" w:after="120"/>
    </w:pPr>
    <w:rPr>
      <w:b/>
    </w:rPr>
  </w:style>
  <w:style w:type="paragraph" w:customStyle="1" w:styleId="ParaNum">
    <w:name w:val="ParaNum"/>
    <w:basedOn w:val="Normal"/>
    <w:rsid w:val="00C841C4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C841C4"/>
    <w:pPr>
      <w:spacing w:after="120"/>
    </w:pPr>
  </w:style>
  <w:style w:type="paragraph" w:customStyle="1" w:styleId="Bullet">
    <w:name w:val="Bullet"/>
    <w:basedOn w:val="Normal"/>
    <w:rsid w:val="00C841C4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C841C4"/>
    <w:pPr>
      <w:spacing w:after="240"/>
      <w:ind w:left="1440" w:right="1440"/>
    </w:pPr>
  </w:style>
  <w:style w:type="paragraph" w:customStyle="1" w:styleId="TableFormat">
    <w:name w:val="TableFormat"/>
    <w:basedOn w:val="Bullet"/>
    <w:rsid w:val="00C841C4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C841C4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C841C4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C841C4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C841C4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rsid w:val="00A66149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C841C4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C841C4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C841C4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C841C4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C841C4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C841C4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C841C4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C841C4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C841C4"/>
  </w:style>
  <w:style w:type="paragraph" w:styleId="Title">
    <w:name w:val="Title"/>
    <w:basedOn w:val="Normal"/>
    <w:qFormat/>
    <w:rsid w:val="00A66149"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C841C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A66149"/>
    <w:rPr>
      <w:snapToGrid w:val="0"/>
      <w:kern w:val="28"/>
    </w:rPr>
  </w:style>
  <w:style w:type="character" w:styleId="EndnoteReference">
    <w:name w:val="endnote reference"/>
    <w:rsid w:val="00C841C4"/>
    <w:rPr>
      <w:vertAlign w:val="superscript"/>
    </w:rPr>
  </w:style>
  <w:style w:type="paragraph" w:styleId="TOAHeading">
    <w:name w:val="toa heading"/>
    <w:basedOn w:val="Normal"/>
    <w:next w:val="Normal"/>
    <w:rsid w:val="00C841C4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C841C4"/>
  </w:style>
  <w:style w:type="paragraph" w:customStyle="1" w:styleId="Paratitle">
    <w:name w:val="Para title"/>
    <w:basedOn w:val="Normal"/>
    <w:rsid w:val="00C841C4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C841C4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C841C4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C841C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5A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5A2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5A2D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5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5A2D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rsid w:val="00745A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5A2D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5A2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978E5"/>
    <w:pPr>
      <w:ind w:left="720"/>
      <w:contextualSpacing/>
    </w:pPr>
  </w:style>
  <w:style w:type="paragraph" w:styleId="Revision">
    <w:name w:val="Revision"/>
    <w:hidden/>
    <w:uiPriority w:val="99"/>
    <w:semiHidden/>
    <w:rsid w:val="007A461B"/>
    <w:rPr>
      <w:snapToGrid w:val="0"/>
      <w:kern w:val="28"/>
      <w:sz w:val="22"/>
    </w:rPr>
  </w:style>
  <w:style w:type="character" w:customStyle="1" w:styleId="FooterChar">
    <w:name w:val="Footer Char"/>
    <w:link w:val="Footer"/>
    <w:uiPriority w:val="99"/>
    <w:rsid w:val="00C841C4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